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B4B2F" w:rsidRPr="00BF49CA" w:rsidRDefault="00EB4B2F" w:rsidP="00EB4B2F">
      <w:pPr>
        <w:pStyle w:val="BodyText"/>
        <w:spacing w:before="120" w:after="0"/>
        <w:jc w:val="right"/>
        <w:rPr>
          <w:rFonts w:ascii="Times New Roman" w:hAnsi="Times New Roman"/>
          <w:b/>
          <w:caps/>
          <w:spacing w:val="-8"/>
          <w:sz w:val="24"/>
          <w:szCs w:val="24"/>
          <w:lang w:val="bg-BG"/>
        </w:rPr>
      </w:pPr>
      <w:r>
        <w:rPr>
          <w:rFonts w:ascii="Times New Roman" w:hAnsi="Times New Roman"/>
          <w:b/>
          <w:caps/>
          <w:noProof/>
          <w:sz w:val="24"/>
          <w:szCs w:val="24"/>
          <w:lang w:val="bg-BG"/>
        </w:rPr>
        <w:t>Приложение №14</w:t>
      </w:r>
    </w:p>
    <w:p w:rsidR="00EB4B2F" w:rsidRDefault="00EB4B2F" w:rsidP="00106700">
      <w:pPr>
        <w:jc w:val="center"/>
        <w:rPr>
          <w:rFonts w:ascii="Times New Roman" w:eastAsia="Calibri" w:hAnsi="Times New Roman" w:cs="Times New Roman"/>
          <w:b/>
          <w:color w:val="0070C0"/>
          <w:sz w:val="28"/>
          <w:szCs w:val="28"/>
          <w:lang w:val="bg-BG"/>
        </w:rPr>
      </w:pPr>
    </w:p>
    <w:p w:rsidR="00B148C1" w:rsidRDefault="00106700" w:rsidP="00106700">
      <w:pPr>
        <w:jc w:val="center"/>
        <w:rPr>
          <w:rFonts w:ascii="Times New Roman" w:eastAsia="Calibri" w:hAnsi="Times New Roman" w:cs="Times New Roman"/>
          <w:b/>
          <w:color w:val="0070C0"/>
          <w:sz w:val="28"/>
          <w:szCs w:val="28"/>
          <w:lang w:val="bg-BG"/>
        </w:rPr>
      </w:pPr>
      <w:r w:rsidRPr="00106700">
        <w:rPr>
          <w:rFonts w:ascii="Times New Roman" w:eastAsia="Calibri" w:hAnsi="Times New Roman" w:cs="Times New Roman"/>
          <w:b/>
          <w:color w:val="0070C0"/>
          <w:sz w:val="28"/>
          <w:szCs w:val="28"/>
          <w:lang w:val="bg-BG"/>
        </w:rPr>
        <w:t>ДОГОВОРИ С ГАРАНТИРАН РЕЗУЛТАТ</w:t>
      </w:r>
    </w:p>
    <w:p w:rsidR="000F3B75" w:rsidRDefault="000F3B75" w:rsidP="00106700">
      <w:pPr>
        <w:jc w:val="center"/>
        <w:rPr>
          <w:rFonts w:ascii="Times New Roman" w:eastAsia="Calibri" w:hAnsi="Times New Roman" w:cs="Times New Roman"/>
          <w:b/>
          <w:color w:val="0070C0"/>
          <w:sz w:val="28"/>
          <w:szCs w:val="28"/>
          <w:lang w:val="bg-BG"/>
        </w:rPr>
      </w:pPr>
    </w:p>
    <w:p w:rsidR="00106700" w:rsidRDefault="00106700" w:rsidP="00D236BB">
      <w:pPr>
        <w:jc w:val="center"/>
      </w:pPr>
      <w:r>
        <w:rPr>
          <w:noProof/>
        </w:rPr>
        <w:drawing>
          <wp:inline distT="0" distB="0" distL="0" distR="0" wp14:anchorId="55A8C2BD" wp14:editId="4643A59A">
            <wp:extent cx="4696240" cy="2628900"/>
            <wp:effectExtent l="0" t="0" r="9525" b="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r="1272"/>
                    <a:stretch/>
                  </pic:blipFill>
                  <pic:spPr bwMode="auto">
                    <a:xfrm>
                      <a:off x="0" y="0"/>
                      <a:ext cx="4705669" cy="2634178"/>
                    </a:xfrm>
                    <a:prstGeom prst="rect">
                      <a:avLst/>
                    </a:prstGeom>
                    <a:ln>
                      <a:noFill/>
                    </a:ln>
                    <a:extLst>
                      <a:ext uri="{53640926-AAD7-44D8-BBD7-CCE9431645EC}">
                        <a14:shadowObscured xmlns:a14="http://schemas.microsoft.com/office/drawing/2010/main"/>
                      </a:ext>
                    </a:extLst>
                  </pic:spPr>
                </pic:pic>
              </a:graphicData>
            </a:graphic>
          </wp:inline>
        </w:drawing>
      </w:r>
    </w:p>
    <w:p w:rsidR="00D236BB" w:rsidRPr="00D236BB" w:rsidRDefault="00D236BB" w:rsidP="00D236BB">
      <w:pPr>
        <w:jc w:val="center"/>
      </w:pPr>
    </w:p>
    <w:p w:rsidR="00106700" w:rsidRPr="00EE5729" w:rsidRDefault="00106700" w:rsidP="00D236BB">
      <w:pPr>
        <w:pStyle w:val="ListParagraph"/>
        <w:numPr>
          <w:ilvl w:val="0"/>
          <w:numId w:val="2"/>
        </w:numPr>
        <w:spacing w:before="240" w:after="240"/>
        <w:ind w:left="0" w:firstLine="11"/>
        <w:rPr>
          <w:rFonts w:ascii="Times New Roman" w:hAnsi="Times New Roman" w:cs="Times New Roman"/>
          <w:b/>
          <w:sz w:val="24"/>
          <w:szCs w:val="24"/>
          <w:lang w:val="bg-BG"/>
        </w:rPr>
      </w:pPr>
      <w:r w:rsidRPr="00EE5729">
        <w:rPr>
          <w:rFonts w:ascii="Times New Roman" w:hAnsi="Times New Roman" w:cs="Times New Roman"/>
          <w:b/>
          <w:sz w:val="24"/>
          <w:szCs w:val="24"/>
          <w:lang w:val="bg-BG"/>
        </w:rPr>
        <w:t>Общи положения</w:t>
      </w:r>
    </w:p>
    <w:p w:rsidR="00106700" w:rsidRPr="00106700"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Съгласно чл. 71, ал. 1 от Закона за енергийната ефективност</w:t>
      </w:r>
      <w:r w:rsidR="001D4A33">
        <w:rPr>
          <w:rFonts w:ascii="Times New Roman" w:hAnsi="Times New Roman" w:cs="Times New Roman"/>
          <w:sz w:val="24"/>
          <w:szCs w:val="24"/>
          <w:lang w:val="bg-BG"/>
        </w:rPr>
        <w:t xml:space="preserve"> (ЗЕЕ)</w:t>
      </w:r>
      <w:r w:rsidRPr="00106700">
        <w:rPr>
          <w:rFonts w:ascii="Times New Roman" w:hAnsi="Times New Roman" w:cs="Times New Roman"/>
          <w:sz w:val="24"/>
          <w:szCs w:val="24"/>
          <w:lang w:val="bg-BG"/>
        </w:rPr>
        <w:t xml:space="preserve"> договорите с гарантиран резултат (ЕСКО договори) са един от финансовите механизми за насърчаване на енергийната ефективност.</w:t>
      </w:r>
    </w:p>
    <w:p w:rsidR="00106700" w:rsidRPr="00E81884"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 xml:space="preserve">Договорите с гарантиран резултат са регламентирани в специален раздел в ЗЕЕ, където е определено, че този вид договори имат за предмет изпълнението на мерки за повишаване на енергийната ефективност в сгради, предприятия, промишлени системи и системи за външно изкуствено осветление, като инвестициите за реализирането на тези мерки се изплащат съгласно </w:t>
      </w:r>
      <w:r w:rsidRPr="00E81884">
        <w:rPr>
          <w:rFonts w:ascii="Times New Roman" w:hAnsi="Times New Roman" w:cs="Times New Roman"/>
          <w:sz w:val="24"/>
          <w:szCs w:val="24"/>
          <w:lang w:val="bg-BG"/>
        </w:rPr>
        <w:t>договорното гарантирано равнище на подобряване на енергийната ефективност или друг договорен критерий, свързан с енергийните характеристики.</w:t>
      </w:r>
    </w:p>
    <w:p w:rsidR="00106700" w:rsidRPr="00E81884" w:rsidRDefault="00106700" w:rsidP="00D236BB">
      <w:pPr>
        <w:spacing w:after="120" w:line="276" w:lineRule="auto"/>
        <w:ind w:firstLine="709"/>
        <w:jc w:val="both"/>
        <w:rPr>
          <w:rFonts w:ascii="Times New Roman" w:hAnsi="Times New Roman" w:cs="Times New Roman"/>
          <w:sz w:val="24"/>
          <w:szCs w:val="24"/>
          <w:lang w:val="bg-BG"/>
        </w:rPr>
      </w:pPr>
      <w:r w:rsidRPr="00E81884">
        <w:rPr>
          <w:rFonts w:ascii="Times New Roman" w:hAnsi="Times New Roman" w:cs="Times New Roman"/>
          <w:sz w:val="24"/>
          <w:szCs w:val="24"/>
          <w:lang w:val="bg-BG"/>
        </w:rPr>
        <w:t>Договор с гарантиран резултат се сключва след извършено обследване за енергийна ефективност и издаден сертификат за енергийни характеристики, удостоверяващ актуалното състояние на енергопотреблението в сградата</w:t>
      </w:r>
      <w:r w:rsidR="001A3C88" w:rsidRPr="00E81884">
        <w:rPr>
          <w:rFonts w:ascii="Times New Roman" w:hAnsi="Times New Roman" w:cs="Times New Roman"/>
          <w:sz w:val="24"/>
          <w:szCs w:val="24"/>
          <w:lang w:val="bg-BG"/>
        </w:rPr>
        <w:t>.</w:t>
      </w:r>
    </w:p>
    <w:p w:rsidR="00106700" w:rsidRPr="00106700"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lastRenderedPageBreak/>
        <w:t xml:space="preserve">Възложители по ЕСКО договори могат да бъдат крайните клиенти, а изпълнители - доставчиците на </w:t>
      </w:r>
      <w:proofErr w:type="spellStart"/>
      <w:r w:rsidRPr="00106700">
        <w:rPr>
          <w:rFonts w:ascii="Times New Roman" w:hAnsi="Times New Roman" w:cs="Times New Roman"/>
          <w:sz w:val="24"/>
          <w:szCs w:val="24"/>
          <w:lang w:val="bg-BG"/>
        </w:rPr>
        <w:t>енергийноефективни</w:t>
      </w:r>
      <w:proofErr w:type="spellEnd"/>
      <w:r w:rsidRPr="00106700">
        <w:rPr>
          <w:rFonts w:ascii="Times New Roman" w:hAnsi="Times New Roman" w:cs="Times New Roman"/>
          <w:sz w:val="24"/>
          <w:szCs w:val="24"/>
          <w:lang w:val="bg-BG"/>
        </w:rPr>
        <w:t xml:space="preserve"> услуги. Изпълнителите са лица - търговци по смисъла на Търговския закон или по смисъла на законодателството на друга държава - членка на Европейския съюз, или на друга държава - страна по Споразумението за Европейското икономическо пространство, или на Конфедерация Швейцария, с предмет на дейност, включващ изпълнение на услуги по договори с гарантиран резултат.</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Минималният обхват на ЕСКО договорите е определен в чл. 73, ал. 3 от ЗЕЕ, а именно</w:t>
      </w:r>
      <w:r w:rsidR="00E81884">
        <w:rPr>
          <w:rFonts w:ascii="Times New Roman" w:hAnsi="Times New Roman" w:cs="Times New Roman"/>
          <w:sz w:val="24"/>
          <w:szCs w:val="24"/>
          <w:lang w:val="bg-BG"/>
        </w:rPr>
        <w:t xml:space="preserve"> д</w:t>
      </w:r>
      <w:r w:rsidRPr="00106700">
        <w:rPr>
          <w:rFonts w:ascii="Times New Roman" w:hAnsi="Times New Roman" w:cs="Times New Roman"/>
          <w:sz w:val="24"/>
          <w:szCs w:val="24"/>
          <w:lang w:val="bg-BG"/>
        </w:rPr>
        <w:t>оговорите с гарантиран резултат се сключват в писмена форма и съдържат най-малко:</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1. нормализираното енергопотребление, установено с обследване за енергийна ефективност;</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2. списък на мерките за ефективност, които ще бъдат изпълнени, включително стъпките, които трябва да се предприемат за изпълнение на мерките, и когато е уместно - свързаните с тях разходи;</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3. гарантираните икономии на енергия, реда и сроковете за тяхното установяване след изпълнението на мерките по договора, както и разпоредби за измерване и потвърждаване на постигнатите енергийни спестявания, на постигнатите гарантирани икономии, проверки на качеството и гаранции;</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4. задължение за пълно изпълнение на мерките в договора и документиране на всички направени промени по време на проекта;</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5. описание на финансовите последици от проекта и разпределението на дяловете на двете страни в постигнатите финансови икономии;</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6. начин на финансиране;</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7. начин на изплащане на възнаграждението;</w:t>
      </w:r>
    </w:p>
    <w:p w:rsidR="00106700" w:rsidRPr="00106700" w:rsidRDefault="00106700" w:rsidP="00106700">
      <w:pPr>
        <w:spacing w:after="6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 xml:space="preserve">8. други клаузи, в т.ч. разпоредби, свързани с промени в рамковите условия относно съдържанието и резултата от договора, включване на равностойни изисквания към всеки договор за </w:t>
      </w:r>
      <w:proofErr w:type="spellStart"/>
      <w:r w:rsidRPr="00106700">
        <w:rPr>
          <w:rFonts w:ascii="Times New Roman" w:hAnsi="Times New Roman" w:cs="Times New Roman"/>
          <w:sz w:val="24"/>
          <w:szCs w:val="24"/>
          <w:lang w:val="bg-BG"/>
        </w:rPr>
        <w:t>подизпълнение</w:t>
      </w:r>
      <w:proofErr w:type="spellEnd"/>
      <w:r w:rsidRPr="00106700">
        <w:rPr>
          <w:rFonts w:ascii="Times New Roman" w:hAnsi="Times New Roman" w:cs="Times New Roman"/>
          <w:sz w:val="24"/>
          <w:szCs w:val="24"/>
          <w:lang w:val="bg-BG"/>
        </w:rPr>
        <w:t xml:space="preserve"> с трети страни, както и подробна информация за задълженията на всяка от договарящите се страни и санкциите за тяхното нарушаване;</w:t>
      </w:r>
    </w:p>
    <w:p w:rsidR="00106700" w:rsidRPr="00106700"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9. методика за оценка на спестената енергия.</w:t>
      </w:r>
    </w:p>
    <w:p w:rsidR="00106700" w:rsidRPr="00106700"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Изпълнителите и/или възложителите осигуряват извършването на услугата, изцяло или частично, със собствени средства и/или поемат задължение да осигурят финансирането им от трето лице (чл. 73, ал. 4 от ЗЕЕ).</w:t>
      </w:r>
    </w:p>
    <w:p w:rsidR="00106700" w:rsidRDefault="00106700" w:rsidP="00D236BB">
      <w:pPr>
        <w:spacing w:after="120" w:line="276" w:lineRule="auto"/>
        <w:ind w:firstLine="709"/>
        <w:jc w:val="both"/>
        <w:rPr>
          <w:rFonts w:ascii="Times New Roman" w:hAnsi="Times New Roman" w:cs="Times New Roman"/>
          <w:sz w:val="24"/>
          <w:szCs w:val="24"/>
          <w:lang w:val="bg-BG"/>
        </w:rPr>
      </w:pPr>
      <w:r w:rsidRPr="00106700">
        <w:rPr>
          <w:rFonts w:ascii="Times New Roman" w:hAnsi="Times New Roman" w:cs="Times New Roman"/>
          <w:sz w:val="24"/>
          <w:szCs w:val="24"/>
          <w:lang w:val="bg-BG"/>
        </w:rPr>
        <w:t>Съгласно чл. 73, ал. 6 от ЗЕЕ услугите по ЕСКО договори задължително осигуряват достигането на нормативно изискващия се клас на енергопотребление за сградата - предмет на договора.</w:t>
      </w:r>
    </w:p>
    <w:p w:rsidR="00106700" w:rsidRPr="00EE5729" w:rsidRDefault="00106700" w:rsidP="00D236BB">
      <w:pPr>
        <w:pStyle w:val="ListParagraph"/>
        <w:numPr>
          <w:ilvl w:val="0"/>
          <w:numId w:val="2"/>
        </w:numPr>
        <w:spacing w:before="240" w:after="240"/>
        <w:ind w:left="0" w:firstLine="11"/>
        <w:rPr>
          <w:rFonts w:ascii="Times New Roman" w:hAnsi="Times New Roman" w:cs="Times New Roman"/>
          <w:b/>
          <w:sz w:val="24"/>
          <w:szCs w:val="24"/>
          <w:lang w:val="bg-BG"/>
        </w:rPr>
      </w:pPr>
      <w:r w:rsidRPr="00EE5729">
        <w:rPr>
          <w:rFonts w:ascii="Times New Roman" w:hAnsi="Times New Roman" w:cs="Times New Roman"/>
          <w:b/>
          <w:sz w:val="24"/>
          <w:szCs w:val="24"/>
          <w:lang w:val="bg-BG"/>
        </w:rPr>
        <w:lastRenderedPageBreak/>
        <w:t>Видове ЕСКО договори в зависимост от договорения начин на изплащане на дълга по договора</w:t>
      </w:r>
    </w:p>
    <w:p w:rsidR="00D236BB" w:rsidRPr="00D236BB" w:rsidRDefault="00D236BB" w:rsidP="00D236BB">
      <w:pPr>
        <w:spacing w:after="120" w:line="276" w:lineRule="auto"/>
        <w:ind w:firstLine="708"/>
        <w:jc w:val="both"/>
        <w:rPr>
          <w:rFonts w:ascii="Times New Roman" w:hAnsi="Times New Roman" w:cs="Times New Roman"/>
          <w:sz w:val="24"/>
          <w:szCs w:val="24"/>
          <w:lang w:val="bg-BG"/>
        </w:rPr>
      </w:pPr>
      <w:r w:rsidRPr="00380976">
        <w:rPr>
          <w:rFonts w:ascii="Times New Roman" w:hAnsi="Times New Roman" w:cs="Times New Roman"/>
          <w:sz w:val="24"/>
          <w:szCs w:val="24"/>
          <w:lang w:val="bg-BG"/>
        </w:rPr>
        <w:t>По-долу са разгледани двата основни типа ЕСКО договори, които могат да се приложат и за жилищни сгради.</w:t>
      </w:r>
      <w:r w:rsidRPr="00D236BB">
        <w:rPr>
          <w:rFonts w:ascii="Times New Roman" w:hAnsi="Times New Roman" w:cs="Times New Roman"/>
          <w:sz w:val="24"/>
          <w:szCs w:val="24"/>
          <w:lang w:val="bg-BG"/>
        </w:rPr>
        <w:t xml:space="preserve">  </w:t>
      </w:r>
    </w:p>
    <w:p w:rsidR="00D236BB" w:rsidRPr="00D236BB" w:rsidRDefault="00D236BB" w:rsidP="00D236BB">
      <w:pPr>
        <w:numPr>
          <w:ilvl w:val="0"/>
          <w:numId w:val="3"/>
        </w:numPr>
        <w:spacing w:after="60" w:line="276" w:lineRule="auto"/>
        <w:ind w:left="714" w:hanging="357"/>
        <w:jc w:val="both"/>
        <w:rPr>
          <w:rFonts w:ascii="Times New Roman" w:eastAsia="Calibri" w:hAnsi="Times New Roman" w:cs="Times New Roman"/>
          <w:b/>
          <w:color w:val="000000"/>
          <w:sz w:val="24"/>
          <w:szCs w:val="24"/>
          <w:lang w:val="bg-BG"/>
        </w:rPr>
      </w:pPr>
      <w:r w:rsidRPr="00D236BB">
        <w:rPr>
          <w:rFonts w:ascii="Times New Roman" w:eastAsia="Calibri" w:hAnsi="Times New Roman" w:cs="Times New Roman"/>
          <w:b/>
          <w:color w:val="000000"/>
          <w:sz w:val="24"/>
          <w:szCs w:val="24"/>
          <w:lang w:val="bg-BG"/>
        </w:rPr>
        <w:t xml:space="preserve">Договор с гарантирани спестявания </w:t>
      </w:r>
      <w:r w:rsidRPr="001D4A33">
        <w:rPr>
          <w:rFonts w:ascii="Times New Roman" w:eastAsia="Calibri" w:hAnsi="Times New Roman" w:cs="Times New Roman"/>
          <w:b/>
          <w:color w:val="000000"/>
          <w:sz w:val="24"/>
          <w:szCs w:val="24"/>
        </w:rPr>
        <w:t>(guaranteed savings contracts)</w:t>
      </w:r>
    </w:p>
    <w:p w:rsidR="00D236BB" w:rsidRPr="00D236BB" w:rsidRDefault="00D236BB" w:rsidP="00D236BB">
      <w:pPr>
        <w:numPr>
          <w:ilvl w:val="0"/>
          <w:numId w:val="3"/>
        </w:numPr>
        <w:spacing w:after="240" w:line="276" w:lineRule="auto"/>
        <w:ind w:left="714" w:hanging="357"/>
        <w:jc w:val="both"/>
        <w:rPr>
          <w:rFonts w:ascii="Times New Roman" w:eastAsia="Calibri" w:hAnsi="Times New Roman" w:cs="Times New Roman"/>
          <w:b/>
          <w:color w:val="000000"/>
          <w:sz w:val="24"/>
          <w:szCs w:val="24"/>
          <w:lang w:val="bg-BG"/>
        </w:rPr>
      </w:pPr>
      <w:r w:rsidRPr="00D236BB">
        <w:rPr>
          <w:rFonts w:ascii="Times New Roman" w:eastAsia="Calibri" w:hAnsi="Times New Roman" w:cs="Times New Roman"/>
          <w:b/>
          <w:color w:val="000000"/>
          <w:sz w:val="24"/>
          <w:szCs w:val="24"/>
          <w:lang w:val="bg-BG"/>
        </w:rPr>
        <w:t xml:space="preserve">Договор със споделени спестявания </w:t>
      </w:r>
      <w:r w:rsidRPr="001D4A33">
        <w:rPr>
          <w:rFonts w:ascii="Times New Roman" w:eastAsia="Calibri" w:hAnsi="Times New Roman" w:cs="Times New Roman"/>
          <w:b/>
          <w:color w:val="000000"/>
          <w:sz w:val="24"/>
          <w:szCs w:val="24"/>
        </w:rPr>
        <w:t>(shared savings contract)</w:t>
      </w:r>
    </w:p>
    <w:p w:rsidR="00D236BB" w:rsidRPr="00D236BB" w:rsidRDefault="00D236BB" w:rsidP="00D236BB">
      <w:pPr>
        <w:spacing w:after="120" w:line="276" w:lineRule="auto"/>
        <w:ind w:firstLine="709"/>
        <w:contextualSpacing/>
        <w:jc w:val="both"/>
        <w:rPr>
          <w:rFonts w:ascii="Times New Roman" w:eastAsia="Times New Roman" w:hAnsi="Times New Roman" w:cs="Times New Roman"/>
          <w:color w:val="000000"/>
          <w:sz w:val="24"/>
          <w:szCs w:val="24"/>
          <w:lang w:val="bg-BG"/>
        </w:rPr>
      </w:pPr>
      <w:r w:rsidRPr="00D236BB">
        <w:rPr>
          <w:rFonts w:ascii="Times New Roman" w:eastAsia="Times New Roman" w:hAnsi="Times New Roman" w:cs="Times New Roman"/>
          <w:color w:val="000000"/>
          <w:sz w:val="24"/>
          <w:szCs w:val="24"/>
          <w:lang w:val="bg-BG"/>
        </w:rPr>
        <w:t>Основната разлика, между двата модела на договор, се изразява в гаранцията за изпълнение на ЕСКО договора:</w:t>
      </w:r>
    </w:p>
    <w:p w:rsidR="00D236BB" w:rsidRPr="00D236BB" w:rsidRDefault="00D236BB" w:rsidP="00D236BB">
      <w:pPr>
        <w:numPr>
          <w:ilvl w:val="0"/>
          <w:numId w:val="4"/>
        </w:numPr>
        <w:spacing w:after="60" w:line="276" w:lineRule="auto"/>
        <w:ind w:left="709" w:firstLine="0"/>
        <w:jc w:val="both"/>
        <w:rPr>
          <w:rFonts w:ascii="Times New Roman" w:eastAsia="Times New Roman" w:hAnsi="Times New Roman" w:cs="Times New Roman"/>
          <w:color w:val="000000"/>
          <w:sz w:val="24"/>
          <w:szCs w:val="24"/>
          <w:lang w:val="bg-BG"/>
        </w:rPr>
      </w:pPr>
      <w:r w:rsidRPr="00D236BB">
        <w:rPr>
          <w:rFonts w:ascii="Times New Roman" w:eastAsia="Times New Roman" w:hAnsi="Times New Roman" w:cs="Times New Roman"/>
          <w:color w:val="000000"/>
          <w:sz w:val="24"/>
          <w:szCs w:val="24"/>
          <w:lang w:val="bg-BG"/>
        </w:rPr>
        <w:t>При договора с гарантиран енергоспестяващ резултат, гаранцията за изпълнение е нивото на спестена енергия по фиксирана цена;</w:t>
      </w:r>
    </w:p>
    <w:p w:rsidR="00D236BB" w:rsidRPr="00D236BB" w:rsidRDefault="00D236BB" w:rsidP="000B398D">
      <w:pPr>
        <w:pStyle w:val="ListParagraph"/>
        <w:numPr>
          <w:ilvl w:val="0"/>
          <w:numId w:val="4"/>
        </w:numPr>
        <w:spacing w:after="240" w:line="276" w:lineRule="auto"/>
        <w:ind w:left="709" w:firstLine="0"/>
        <w:contextualSpacing w:val="0"/>
        <w:jc w:val="both"/>
        <w:rPr>
          <w:rFonts w:ascii="Times New Roman" w:eastAsia="Calibri" w:hAnsi="Times New Roman" w:cs="Times New Roman"/>
          <w:color w:val="000000"/>
          <w:sz w:val="24"/>
          <w:szCs w:val="24"/>
          <w:lang w:val="bg-BG"/>
        </w:rPr>
      </w:pPr>
      <w:r w:rsidRPr="00D236BB">
        <w:rPr>
          <w:rFonts w:ascii="Times New Roman" w:eastAsia="Times New Roman" w:hAnsi="Times New Roman" w:cs="Times New Roman"/>
          <w:color w:val="000000"/>
          <w:sz w:val="24"/>
          <w:szCs w:val="24"/>
          <w:lang w:val="bg-BG"/>
        </w:rPr>
        <w:t>При договора за споделените спестявания, гаранцията за изпълнение е нивото на спестените парични разходи от спестената енергия по актуални цени на енергията.</w:t>
      </w:r>
    </w:p>
    <w:p w:rsidR="00106700" w:rsidRPr="000B398D" w:rsidRDefault="000B398D" w:rsidP="004A7E61">
      <w:pPr>
        <w:pStyle w:val="ListParagraph"/>
        <w:numPr>
          <w:ilvl w:val="0"/>
          <w:numId w:val="5"/>
        </w:numPr>
        <w:spacing w:after="240" w:line="276" w:lineRule="auto"/>
        <w:ind w:left="726" w:hanging="357"/>
        <w:rPr>
          <w:rFonts w:ascii="Times New Roman" w:hAnsi="Times New Roman" w:cs="Times New Roman"/>
          <w:u w:val="single"/>
          <w:lang w:val="bg-BG"/>
        </w:rPr>
      </w:pPr>
      <w:r w:rsidRPr="000B398D">
        <w:rPr>
          <w:rFonts w:ascii="Times New Roman" w:eastAsia="Calibri" w:hAnsi="Times New Roman" w:cs="Times New Roman"/>
          <w:b/>
          <w:color w:val="000000"/>
          <w:sz w:val="24"/>
          <w:szCs w:val="24"/>
          <w:u w:val="single"/>
          <w:lang w:val="bg-BG"/>
        </w:rPr>
        <w:t>Договор с гарантирани спестявания (ДГС)</w:t>
      </w:r>
    </w:p>
    <w:p w:rsidR="000B398D" w:rsidRPr="000B398D" w:rsidRDefault="000B398D" w:rsidP="000B398D">
      <w:pPr>
        <w:spacing w:after="120" w:line="276" w:lineRule="auto"/>
        <w:ind w:firstLine="720"/>
        <w:jc w:val="both"/>
        <w:rPr>
          <w:rFonts w:ascii="Times New Roman" w:eastAsia="Calibri" w:hAnsi="Times New Roman" w:cs="Times New Roman"/>
          <w:sz w:val="24"/>
          <w:szCs w:val="24"/>
          <w:lang w:val="bg-BG"/>
        </w:rPr>
      </w:pPr>
      <w:r w:rsidRPr="000B398D">
        <w:rPr>
          <w:rFonts w:ascii="Times New Roman" w:eastAsia="Calibri" w:hAnsi="Times New Roman" w:cs="Times New Roman"/>
          <w:sz w:val="24"/>
          <w:szCs w:val="24"/>
          <w:lang w:val="bg-BG"/>
        </w:rPr>
        <w:t xml:space="preserve">При изпълнение на договор </w:t>
      </w:r>
      <w:r w:rsidR="00E81884">
        <w:rPr>
          <w:rFonts w:ascii="Times New Roman" w:eastAsia="Calibri" w:hAnsi="Times New Roman" w:cs="Times New Roman"/>
          <w:sz w:val="24"/>
          <w:szCs w:val="24"/>
          <w:lang w:val="bg-BG"/>
        </w:rPr>
        <w:t>с</w:t>
      </w:r>
      <w:r w:rsidRPr="000B398D">
        <w:rPr>
          <w:rFonts w:ascii="Times New Roman" w:eastAsia="Calibri" w:hAnsi="Times New Roman" w:cs="Times New Roman"/>
          <w:sz w:val="24"/>
          <w:szCs w:val="24"/>
          <w:lang w:val="bg-BG"/>
        </w:rPr>
        <w:t xml:space="preserve"> гарантирано спестява</w:t>
      </w:r>
      <w:r w:rsidR="004A7E61">
        <w:rPr>
          <w:rFonts w:ascii="Times New Roman" w:eastAsia="Calibri" w:hAnsi="Times New Roman" w:cs="Times New Roman"/>
          <w:sz w:val="24"/>
          <w:szCs w:val="24"/>
          <w:lang w:val="bg-BG"/>
        </w:rPr>
        <w:t>не, ЕСКО компанията поема целия</w:t>
      </w:r>
      <w:r w:rsidRPr="000B398D">
        <w:rPr>
          <w:rFonts w:ascii="Times New Roman" w:eastAsia="Calibri" w:hAnsi="Times New Roman" w:cs="Times New Roman"/>
          <w:sz w:val="24"/>
          <w:szCs w:val="24"/>
          <w:lang w:val="bg-BG"/>
        </w:rPr>
        <w:t xml:space="preserve"> технически и финансов риск за проектиране и изпълнение на проекта за енергийна ефективност. Това означава, че при фиксирана в договора цена на енергията, ако количеството енергийни спестяванията не са достатъчни за покриване на обслужването на дълга с </w:t>
      </w:r>
      <w:r w:rsidRPr="00084BEB">
        <w:rPr>
          <w:rFonts w:ascii="Times New Roman" w:eastAsia="Calibri" w:hAnsi="Times New Roman" w:cs="Times New Roman"/>
          <w:sz w:val="24"/>
          <w:szCs w:val="24"/>
          <w:lang w:val="bg-BG"/>
        </w:rPr>
        <w:t>финансовия им еквивалент, то ЕСКО компанията трябва да покрие разликата от този недостиг. Ето защо компаниите, изпълнители по ЕСКО договорите, предпочитат други възможности за финансиране на проектите, освен от собствения им портфейл, например кредити, отпуснати на клиента по договора от банки или други финансови институции.</w:t>
      </w:r>
      <w:r w:rsidRPr="000B398D">
        <w:rPr>
          <w:rFonts w:ascii="Times New Roman" w:eastAsia="Calibri" w:hAnsi="Times New Roman" w:cs="Times New Roman"/>
          <w:sz w:val="24"/>
          <w:szCs w:val="24"/>
          <w:lang w:val="bg-BG"/>
        </w:rPr>
        <w:t xml:space="preserve"> </w:t>
      </w:r>
    </w:p>
    <w:p w:rsidR="000B398D" w:rsidRPr="000B398D" w:rsidRDefault="000B398D" w:rsidP="000B398D">
      <w:pPr>
        <w:spacing w:after="120" w:line="276" w:lineRule="auto"/>
        <w:ind w:firstLine="720"/>
        <w:jc w:val="both"/>
        <w:rPr>
          <w:rFonts w:ascii="Times New Roman" w:eastAsia="Calibri" w:hAnsi="Times New Roman" w:cs="Times New Roman"/>
          <w:sz w:val="24"/>
          <w:szCs w:val="24"/>
          <w:lang w:val="bg-BG"/>
        </w:rPr>
      </w:pPr>
      <w:r w:rsidRPr="000B398D">
        <w:rPr>
          <w:rFonts w:ascii="Times New Roman" w:eastAsia="Calibri" w:hAnsi="Times New Roman" w:cs="Times New Roman"/>
          <w:sz w:val="24"/>
          <w:szCs w:val="24"/>
          <w:lang w:val="bg-BG"/>
        </w:rPr>
        <w:t>Ако обаче спестяванията надхвърлят гарантираното с договора ниво има различни опции за договаряне как да се използват позитивите на допълнителното спестяване.</w:t>
      </w:r>
    </w:p>
    <w:p w:rsidR="000B398D" w:rsidRDefault="004A7E61" w:rsidP="004A7E61">
      <w:pPr>
        <w:spacing w:after="120" w:line="276" w:lineRule="auto"/>
        <w:ind w:firstLine="720"/>
        <w:jc w:val="both"/>
        <w:rPr>
          <w:rFonts w:ascii="Times New Roman" w:eastAsia="Calibri" w:hAnsi="Times New Roman" w:cs="Times New Roman"/>
          <w:sz w:val="24"/>
          <w:szCs w:val="24"/>
          <w:lang w:val="bg-BG"/>
        </w:rPr>
      </w:pPr>
      <w:r>
        <w:rPr>
          <w:rFonts w:ascii="Times New Roman" w:eastAsia="Calibri" w:hAnsi="Times New Roman" w:cs="Times New Roman"/>
          <w:sz w:val="24"/>
          <w:szCs w:val="24"/>
          <w:lang w:val="bg-BG"/>
        </w:rPr>
        <w:t>По-долу са представени пет</w:t>
      </w:r>
      <w:r w:rsidR="000B398D" w:rsidRPr="000B398D">
        <w:rPr>
          <w:rFonts w:ascii="Times New Roman" w:eastAsia="Calibri" w:hAnsi="Times New Roman" w:cs="Times New Roman"/>
          <w:sz w:val="24"/>
          <w:szCs w:val="24"/>
          <w:lang w:val="bg-BG"/>
        </w:rPr>
        <w:t xml:space="preserve"> схеми за онагледяване на разновидностите на изплащането на дълга по договор с гарантиран резултат,  което е </w:t>
      </w:r>
      <w:r w:rsidR="00E81884">
        <w:rPr>
          <w:rFonts w:ascii="Times New Roman" w:eastAsia="Calibri" w:hAnsi="Times New Roman" w:cs="Times New Roman"/>
          <w:sz w:val="24"/>
          <w:szCs w:val="24"/>
          <w:lang w:val="bg-BG"/>
        </w:rPr>
        <w:t>важно за</w:t>
      </w:r>
      <w:r w:rsidR="000B398D" w:rsidRPr="000B398D">
        <w:rPr>
          <w:rFonts w:ascii="Times New Roman" w:eastAsia="Calibri" w:hAnsi="Times New Roman" w:cs="Times New Roman"/>
          <w:sz w:val="24"/>
          <w:szCs w:val="24"/>
          <w:lang w:val="bg-BG"/>
        </w:rPr>
        <w:t xml:space="preserve"> структуриране на специфичните клаузи в типови и примерни договори, прилагани в ЕСК</w:t>
      </w:r>
      <w:r>
        <w:rPr>
          <w:rFonts w:ascii="Times New Roman" w:eastAsia="Calibri" w:hAnsi="Times New Roman" w:cs="Times New Roman"/>
          <w:sz w:val="24"/>
          <w:szCs w:val="24"/>
          <w:lang w:val="bg-BG"/>
        </w:rPr>
        <w:t>О бизнес модела.</w:t>
      </w:r>
    </w:p>
    <w:p w:rsidR="004A7E61" w:rsidRPr="004A7E61" w:rsidRDefault="004A7E61" w:rsidP="00252431">
      <w:pPr>
        <w:spacing w:after="120" w:line="276" w:lineRule="auto"/>
        <w:ind w:firstLine="720"/>
        <w:jc w:val="center"/>
        <w:rPr>
          <w:rFonts w:ascii="Times New Roman" w:eastAsia="Calibri" w:hAnsi="Times New Roman" w:cs="Times New Roman"/>
          <w:sz w:val="24"/>
          <w:szCs w:val="24"/>
          <w:lang w:val="bg-BG"/>
        </w:rPr>
      </w:pPr>
      <w:r w:rsidRPr="006C20BE">
        <w:rPr>
          <w:rFonts w:ascii="Verdana" w:eastAsia="Calibri" w:hAnsi="Verdana" w:cs="Times New Roman"/>
          <w:noProof/>
        </w:rPr>
        <w:lastRenderedPageBreak/>
        <w:drawing>
          <wp:inline distT="0" distB="0" distL="0" distR="0" wp14:anchorId="0CF6E7E0" wp14:editId="772A26EE">
            <wp:extent cx="4861550" cy="3572539"/>
            <wp:effectExtent l="0" t="0" r="0" b="8890"/>
            <wp:docPr id="2"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1550" cy="3572539"/>
                    </a:xfrm>
                    <a:prstGeom prst="rect">
                      <a:avLst/>
                    </a:prstGeom>
                    <a:noFill/>
                    <a:ln>
                      <a:noFill/>
                    </a:ln>
                  </pic:spPr>
                </pic:pic>
              </a:graphicData>
            </a:graphic>
          </wp:inline>
        </w:drawing>
      </w:r>
    </w:p>
    <w:tbl>
      <w:tblPr>
        <w:tblStyle w:val="TableGrid"/>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250"/>
      </w:tblGrid>
      <w:tr w:rsidR="000B398D" w:rsidRPr="006C20BE" w:rsidTr="00536E81">
        <w:trPr>
          <w:trHeight w:val="5806"/>
        </w:trPr>
        <w:tc>
          <w:tcPr>
            <w:tcW w:w="9250" w:type="dxa"/>
            <w:vAlign w:val="center"/>
          </w:tcPr>
          <w:p w:rsidR="00252431" w:rsidRDefault="000B398D" w:rsidP="00252431">
            <w:pPr>
              <w:spacing w:line="360" w:lineRule="auto"/>
              <w:ind w:firstLine="720"/>
              <w:jc w:val="center"/>
              <w:rPr>
                <w:rFonts w:ascii="Verdana" w:eastAsia="Calibri" w:hAnsi="Verdana" w:cs="Times New Roman"/>
              </w:rPr>
            </w:pPr>
            <w:r w:rsidRPr="006C20BE">
              <w:rPr>
                <w:rFonts w:ascii="Verdana" w:eastAsia="Calibri" w:hAnsi="Verdana" w:cs="Times New Roman"/>
                <w:noProof/>
              </w:rPr>
              <w:drawing>
                <wp:inline distT="0" distB="0" distL="0" distR="0" wp14:anchorId="2BD66CC1" wp14:editId="5C16ED58">
                  <wp:extent cx="4688959" cy="3529426"/>
                  <wp:effectExtent l="0" t="0" r="0" b="1270"/>
                  <wp:docPr id="3"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8959" cy="3529426"/>
                          </a:xfrm>
                          <a:prstGeom prst="rect">
                            <a:avLst/>
                          </a:prstGeom>
                          <a:noFill/>
                          <a:ln>
                            <a:noFill/>
                          </a:ln>
                        </pic:spPr>
                      </pic:pic>
                    </a:graphicData>
                  </a:graphic>
                </wp:inline>
              </w:drawing>
            </w:r>
          </w:p>
          <w:p w:rsidR="00252431" w:rsidRDefault="00252431" w:rsidP="00252431">
            <w:pPr>
              <w:rPr>
                <w:rFonts w:ascii="Verdana" w:eastAsia="Calibri" w:hAnsi="Verdana" w:cs="Times New Roman"/>
              </w:rPr>
            </w:pPr>
          </w:p>
          <w:p w:rsidR="000B398D" w:rsidRPr="00252431" w:rsidRDefault="000B398D" w:rsidP="00252431">
            <w:pPr>
              <w:rPr>
                <w:rFonts w:ascii="Verdana" w:eastAsia="Calibri" w:hAnsi="Verdana" w:cs="Times New Roman"/>
              </w:rPr>
            </w:pPr>
          </w:p>
        </w:tc>
      </w:tr>
      <w:tr w:rsidR="000B398D" w:rsidRPr="006C20BE" w:rsidTr="00536E81">
        <w:trPr>
          <w:trHeight w:val="6102"/>
        </w:trPr>
        <w:tc>
          <w:tcPr>
            <w:tcW w:w="9250" w:type="dxa"/>
            <w:vAlign w:val="center"/>
          </w:tcPr>
          <w:p w:rsidR="000B398D" w:rsidRPr="006C20BE" w:rsidRDefault="000B398D" w:rsidP="00252431">
            <w:pPr>
              <w:spacing w:line="360" w:lineRule="auto"/>
              <w:ind w:firstLine="720"/>
              <w:jc w:val="center"/>
              <w:rPr>
                <w:rFonts w:ascii="Verdana" w:eastAsia="Calibri" w:hAnsi="Verdana" w:cs="Times New Roman"/>
              </w:rPr>
            </w:pPr>
            <w:r w:rsidRPr="006C20BE">
              <w:rPr>
                <w:rFonts w:ascii="Verdana" w:eastAsia="Calibri" w:hAnsi="Verdana" w:cs="Times New Roman"/>
                <w:noProof/>
              </w:rPr>
              <w:lastRenderedPageBreak/>
              <w:drawing>
                <wp:inline distT="0" distB="0" distL="0" distR="0" wp14:anchorId="769C42E0" wp14:editId="63BE7985">
                  <wp:extent cx="4631096" cy="3576427"/>
                  <wp:effectExtent l="0" t="0" r="0" b="5080"/>
                  <wp:docPr id="4"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41749" cy="3584654"/>
                          </a:xfrm>
                          <a:prstGeom prst="rect">
                            <a:avLst/>
                          </a:prstGeom>
                          <a:noFill/>
                          <a:ln>
                            <a:noFill/>
                          </a:ln>
                        </pic:spPr>
                      </pic:pic>
                    </a:graphicData>
                  </a:graphic>
                </wp:inline>
              </w:drawing>
            </w:r>
          </w:p>
        </w:tc>
      </w:tr>
      <w:tr w:rsidR="000B398D" w:rsidRPr="006C20BE" w:rsidTr="00536E81">
        <w:trPr>
          <w:trHeight w:val="5849"/>
        </w:trPr>
        <w:tc>
          <w:tcPr>
            <w:tcW w:w="9250" w:type="dxa"/>
            <w:vAlign w:val="center"/>
          </w:tcPr>
          <w:p w:rsidR="000B398D" w:rsidRPr="006C20BE" w:rsidRDefault="000B398D" w:rsidP="00536E81">
            <w:pPr>
              <w:spacing w:line="360" w:lineRule="auto"/>
              <w:ind w:firstLine="720"/>
              <w:jc w:val="center"/>
              <w:rPr>
                <w:rFonts w:ascii="Verdana" w:eastAsia="Calibri" w:hAnsi="Verdana" w:cs="Times New Roman"/>
              </w:rPr>
            </w:pPr>
            <w:r w:rsidRPr="006C20BE">
              <w:rPr>
                <w:rFonts w:ascii="Verdana" w:eastAsia="Calibri" w:hAnsi="Verdana" w:cs="Times New Roman"/>
                <w:noProof/>
              </w:rPr>
              <w:drawing>
                <wp:inline distT="0" distB="0" distL="0" distR="0" wp14:anchorId="1D48BDC2" wp14:editId="0AA4782C">
                  <wp:extent cx="4586291" cy="3648075"/>
                  <wp:effectExtent l="0" t="0" r="5080" b="0"/>
                  <wp:docPr id="5"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99533" cy="3658608"/>
                          </a:xfrm>
                          <a:prstGeom prst="rect">
                            <a:avLst/>
                          </a:prstGeom>
                          <a:noFill/>
                          <a:ln>
                            <a:noFill/>
                          </a:ln>
                        </pic:spPr>
                      </pic:pic>
                    </a:graphicData>
                  </a:graphic>
                </wp:inline>
              </w:drawing>
            </w:r>
          </w:p>
        </w:tc>
      </w:tr>
    </w:tbl>
    <w:p w:rsidR="000B398D" w:rsidRPr="006C20BE" w:rsidRDefault="000B398D" w:rsidP="000B398D">
      <w:pPr>
        <w:spacing w:after="0" w:line="360" w:lineRule="auto"/>
        <w:ind w:firstLine="720"/>
        <w:jc w:val="both"/>
        <w:rPr>
          <w:rFonts w:ascii="Verdana" w:eastAsia="Calibri" w:hAnsi="Verdana" w:cs="Times New Roman"/>
        </w:rPr>
      </w:pPr>
    </w:p>
    <w:tbl>
      <w:tblPr>
        <w:tblStyle w:val="TableGrid"/>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250"/>
      </w:tblGrid>
      <w:tr w:rsidR="000B398D" w:rsidRPr="006C20BE" w:rsidTr="00536E81">
        <w:trPr>
          <w:trHeight w:val="5960"/>
        </w:trPr>
        <w:tc>
          <w:tcPr>
            <w:tcW w:w="9250" w:type="dxa"/>
            <w:vAlign w:val="center"/>
          </w:tcPr>
          <w:p w:rsidR="000B398D" w:rsidRPr="006C20BE" w:rsidRDefault="000B398D" w:rsidP="00536E81">
            <w:pPr>
              <w:spacing w:line="360" w:lineRule="auto"/>
              <w:ind w:firstLine="720"/>
              <w:jc w:val="center"/>
              <w:rPr>
                <w:rFonts w:ascii="Verdana" w:eastAsia="Calibri" w:hAnsi="Verdana" w:cs="Times New Roman"/>
              </w:rPr>
            </w:pPr>
            <w:r w:rsidRPr="006C20BE">
              <w:rPr>
                <w:rFonts w:ascii="Verdana" w:eastAsia="Calibri" w:hAnsi="Verdana" w:cs="Times New Roman"/>
                <w:noProof/>
              </w:rPr>
              <w:drawing>
                <wp:inline distT="0" distB="0" distL="0" distR="0" wp14:anchorId="62A2E867" wp14:editId="1EBAAF02">
                  <wp:extent cx="4423144" cy="3636286"/>
                  <wp:effectExtent l="0" t="0" r="0" b="2540"/>
                  <wp:docPr id="6"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2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35291" cy="3646272"/>
                          </a:xfrm>
                          <a:prstGeom prst="rect">
                            <a:avLst/>
                          </a:prstGeom>
                          <a:noFill/>
                          <a:ln>
                            <a:noFill/>
                          </a:ln>
                        </pic:spPr>
                      </pic:pic>
                    </a:graphicData>
                  </a:graphic>
                </wp:inline>
              </w:drawing>
            </w:r>
          </w:p>
          <w:p w:rsidR="000B398D" w:rsidRPr="006C20BE" w:rsidRDefault="000B398D" w:rsidP="00536E81">
            <w:pPr>
              <w:spacing w:line="360" w:lineRule="auto"/>
              <w:ind w:firstLine="720"/>
              <w:jc w:val="both"/>
              <w:rPr>
                <w:rFonts w:ascii="Verdana" w:eastAsia="Calibri" w:hAnsi="Verdana" w:cs="Times New Roman"/>
              </w:rPr>
            </w:pPr>
          </w:p>
        </w:tc>
      </w:tr>
    </w:tbl>
    <w:p w:rsidR="000B398D" w:rsidRPr="000B398D" w:rsidRDefault="000B398D" w:rsidP="000B398D">
      <w:pPr>
        <w:pStyle w:val="ListParagraph"/>
        <w:spacing w:after="120" w:line="276" w:lineRule="auto"/>
        <w:ind w:left="731"/>
        <w:rPr>
          <w:rFonts w:ascii="Times New Roman" w:hAnsi="Times New Roman" w:cs="Times New Roman"/>
          <w:u w:val="single"/>
          <w:lang w:val="bg-BG"/>
        </w:rPr>
      </w:pPr>
    </w:p>
    <w:p w:rsidR="00380976" w:rsidRPr="000B398D" w:rsidRDefault="00380976" w:rsidP="00380976">
      <w:pPr>
        <w:pStyle w:val="ListParagraph"/>
        <w:numPr>
          <w:ilvl w:val="0"/>
          <w:numId w:val="5"/>
        </w:numPr>
        <w:spacing w:after="240" w:line="276" w:lineRule="auto"/>
        <w:rPr>
          <w:rFonts w:ascii="Times New Roman" w:hAnsi="Times New Roman" w:cs="Times New Roman"/>
          <w:u w:val="single"/>
          <w:lang w:val="bg-BG"/>
        </w:rPr>
      </w:pPr>
      <w:r w:rsidRPr="000B398D">
        <w:rPr>
          <w:rFonts w:ascii="Times New Roman" w:eastAsia="Calibri" w:hAnsi="Times New Roman" w:cs="Times New Roman"/>
          <w:b/>
          <w:color w:val="000000"/>
          <w:sz w:val="24"/>
          <w:szCs w:val="24"/>
          <w:u w:val="single"/>
          <w:lang w:val="bg-BG"/>
        </w:rPr>
        <w:t>Договор с</w:t>
      </w:r>
      <w:r>
        <w:rPr>
          <w:rFonts w:ascii="Times New Roman" w:eastAsia="Calibri" w:hAnsi="Times New Roman" w:cs="Times New Roman"/>
          <w:b/>
          <w:color w:val="000000"/>
          <w:sz w:val="24"/>
          <w:szCs w:val="24"/>
          <w:u w:val="single"/>
          <w:lang w:val="bg-BG"/>
        </w:rPr>
        <w:t xml:space="preserve">ъс споделени </w:t>
      </w:r>
      <w:r w:rsidRPr="000B398D">
        <w:rPr>
          <w:rFonts w:ascii="Times New Roman" w:eastAsia="Calibri" w:hAnsi="Times New Roman" w:cs="Times New Roman"/>
          <w:b/>
          <w:color w:val="000000"/>
          <w:sz w:val="24"/>
          <w:szCs w:val="24"/>
          <w:u w:val="single"/>
          <w:lang w:val="bg-BG"/>
        </w:rPr>
        <w:t>спестявания (Д</w:t>
      </w:r>
      <w:r>
        <w:rPr>
          <w:rFonts w:ascii="Times New Roman" w:eastAsia="Calibri" w:hAnsi="Times New Roman" w:cs="Times New Roman"/>
          <w:b/>
          <w:color w:val="000000"/>
          <w:sz w:val="24"/>
          <w:szCs w:val="24"/>
          <w:u w:val="single"/>
          <w:lang w:val="bg-BG"/>
        </w:rPr>
        <w:t>С</w:t>
      </w:r>
      <w:r w:rsidRPr="000B398D">
        <w:rPr>
          <w:rFonts w:ascii="Times New Roman" w:eastAsia="Calibri" w:hAnsi="Times New Roman" w:cs="Times New Roman"/>
          <w:b/>
          <w:color w:val="000000"/>
          <w:sz w:val="24"/>
          <w:szCs w:val="24"/>
          <w:u w:val="single"/>
          <w:lang w:val="bg-BG"/>
        </w:rPr>
        <w:t>С)</w:t>
      </w:r>
    </w:p>
    <w:p w:rsidR="00380976" w:rsidRPr="00E40567" w:rsidRDefault="00380976" w:rsidP="00E40567">
      <w:pPr>
        <w:spacing w:after="120" w:line="276" w:lineRule="auto"/>
        <w:ind w:firstLine="720"/>
        <w:jc w:val="both"/>
        <w:rPr>
          <w:rFonts w:ascii="Times New Roman" w:eastAsia="Calibri" w:hAnsi="Times New Roman" w:cs="Times New Roman"/>
          <w:color w:val="000000"/>
          <w:sz w:val="24"/>
          <w:szCs w:val="24"/>
          <w:lang w:val="bg-BG"/>
        </w:rPr>
      </w:pPr>
      <w:r w:rsidRPr="00E40567">
        <w:rPr>
          <w:rFonts w:ascii="Times New Roman" w:eastAsia="Calibri" w:hAnsi="Times New Roman" w:cs="Times New Roman"/>
          <w:color w:val="000000"/>
          <w:sz w:val="24"/>
          <w:szCs w:val="24"/>
          <w:lang w:val="bg-BG"/>
        </w:rPr>
        <w:t>При договор със споделени спестявания, клиентът поема част от риска по изпълнението</w:t>
      </w:r>
      <w:r w:rsidR="00355288">
        <w:rPr>
          <w:rFonts w:ascii="Times New Roman" w:eastAsia="Calibri" w:hAnsi="Times New Roman" w:cs="Times New Roman"/>
          <w:color w:val="000000"/>
          <w:sz w:val="24"/>
          <w:szCs w:val="24"/>
          <w:lang w:val="bg-BG"/>
        </w:rPr>
        <w:t xml:space="preserve"> на проекта</w:t>
      </w:r>
      <w:r w:rsidR="00940BB7">
        <w:rPr>
          <w:rFonts w:ascii="Times New Roman" w:eastAsia="Calibri" w:hAnsi="Times New Roman" w:cs="Times New Roman"/>
          <w:color w:val="000000"/>
          <w:sz w:val="24"/>
          <w:szCs w:val="24"/>
          <w:lang w:val="bg-BG"/>
        </w:rPr>
        <w:t>.</w:t>
      </w:r>
    </w:p>
    <w:p w:rsidR="00380976" w:rsidRPr="00E40567" w:rsidRDefault="00380976" w:rsidP="00E40567">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Моделът на „споделени спестявания“ е споразумение/договор за финансиране, в което ЕСКО компания предлага да </w:t>
      </w:r>
      <w:r w:rsidR="007D352B" w:rsidRPr="00E40567">
        <w:rPr>
          <w:rFonts w:ascii="Times New Roman" w:eastAsia="Calibri" w:hAnsi="Times New Roman" w:cs="Times New Roman"/>
          <w:sz w:val="24"/>
          <w:szCs w:val="24"/>
          <w:lang w:val="bg-BG"/>
        </w:rPr>
        <w:t>изпълн</w:t>
      </w:r>
      <w:r w:rsidR="007D352B">
        <w:rPr>
          <w:rFonts w:ascii="Times New Roman" w:eastAsia="Calibri" w:hAnsi="Times New Roman" w:cs="Times New Roman"/>
          <w:sz w:val="24"/>
          <w:szCs w:val="24"/>
          <w:lang w:val="bg-BG"/>
        </w:rPr>
        <w:t>ят</w:t>
      </w:r>
      <w:r w:rsidR="007D352B" w:rsidRPr="00E40567">
        <w:rPr>
          <w:rFonts w:ascii="Times New Roman" w:eastAsia="Calibri" w:hAnsi="Times New Roman" w:cs="Times New Roman"/>
          <w:sz w:val="24"/>
          <w:szCs w:val="24"/>
          <w:lang w:val="bg-BG"/>
        </w:rPr>
        <w:t xml:space="preserve"> </w:t>
      </w:r>
      <w:r w:rsidRPr="00E40567">
        <w:rPr>
          <w:rFonts w:ascii="Times New Roman" w:eastAsia="Calibri" w:hAnsi="Times New Roman" w:cs="Times New Roman"/>
          <w:sz w:val="24"/>
          <w:szCs w:val="24"/>
          <w:lang w:val="bg-BG"/>
        </w:rPr>
        <w:t>капиталови подобрения чрез внедряване  на високоефективно оборудване (модернизация на котли и агрегати за охлаждане, оптимизация на системи за поддържане на микроклимата, подобрения на осветлението и друго оборудване, използващо енергия) с по-добри енергийни характеристики</w:t>
      </w:r>
      <w:r w:rsidR="00FF4885">
        <w:rPr>
          <w:rFonts w:ascii="Times New Roman" w:eastAsia="Calibri" w:hAnsi="Times New Roman" w:cs="Times New Roman"/>
          <w:sz w:val="24"/>
          <w:szCs w:val="24"/>
          <w:lang w:val="bg-BG"/>
        </w:rPr>
        <w:t>, както и други</w:t>
      </w:r>
      <w:r w:rsidR="007D352B">
        <w:rPr>
          <w:rFonts w:ascii="Times New Roman" w:eastAsia="Calibri" w:hAnsi="Times New Roman" w:cs="Times New Roman"/>
          <w:sz w:val="24"/>
          <w:szCs w:val="24"/>
          <w:lang w:val="bg-BG"/>
        </w:rPr>
        <w:t xml:space="preserve"> ефективни</w:t>
      </w:r>
      <w:r w:rsidR="00FF4885">
        <w:rPr>
          <w:rFonts w:ascii="Times New Roman" w:eastAsia="Calibri" w:hAnsi="Times New Roman" w:cs="Times New Roman"/>
          <w:sz w:val="24"/>
          <w:szCs w:val="24"/>
          <w:lang w:val="bg-BG"/>
        </w:rPr>
        <w:t xml:space="preserve"> енергоспестяващи мерки</w:t>
      </w:r>
      <w:r w:rsidR="007D352B">
        <w:rPr>
          <w:rFonts w:ascii="Times New Roman" w:eastAsia="Calibri" w:hAnsi="Times New Roman" w:cs="Times New Roman"/>
          <w:sz w:val="24"/>
          <w:szCs w:val="24"/>
          <w:lang w:val="bg-BG"/>
        </w:rPr>
        <w:t xml:space="preserve"> по сградите</w:t>
      </w:r>
      <w:r w:rsidRPr="00E40567">
        <w:rPr>
          <w:rFonts w:ascii="Times New Roman" w:eastAsia="Calibri" w:hAnsi="Times New Roman" w:cs="Times New Roman"/>
          <w:sz w:val="24"/>
          <w:szCs w:val="24"/>
          <w:lang w:val="bg-BG"/>
        </w:rPr>
        <w:t xml:space="preserve">, при </w:t>
      </w:r>
      <w:r w:rsidR="007D352B" w:rsidRPr="00E40567">
        <w:rPr>
          <w:rFonts w:ascii="Times New Roman" w:eastAsia="Calibri" w:hAnsi="Times New Roman" w:cs="Times New Roman"/>
          <w:sz w:val="24"/>
          <w:szCs w:val="24"/>
          <w:lang w:val="bg-BG"/>
        </w:rPr>
        <w:t>ко</w:t>
      </w:r>
      <w:r w:rsidR="007D352B">
        <w:rPr>
          <w:rFonts w:ascii="Times New Roman" w:eastAsia="Calibri" w:hAnsi="Times New Roman" w:cs="Times New Roman"/>
          <w:sz w:val="24"/>
          <w:szCs w:val="24"/>
          <w:lang w:val="bg-BG"/>
        </w:rPr>
        <w:t>и</w:t>
      </w:r>
      <w:r w:rsidR="007D352B" w:rsidRPr="00E40567">
        <w:rPr>
          <w:rFonts w:ascii="Times New Roman" w:eastAsia="Calibri" w:hAnsi="Times New Roman" w:cs="Times New Roman"/>
          <w:sz w:val="24"/>
          <w:szCs w:val="24"/>
          <w:lang w:val="bg-BG"/>
        </w:rPr>
        <w:t xml:space="preserve">то </w:t>
      </w:r>
      <w:r w:rsidRPr="00E40567">
        <w:rPr>
          <w:rFonts w:ascii="Times New Roman" w:eastAsia="Calibri" w:hAnsi="Times New Roman" w:cs="Times New Roman"/>
          <w:sz w:val="24"/>
          <w:szCs w:val="24"/>
          <w:lang w:val="bg-BG"/>
        </w:rPr>
        <w:t>се реализира спестяване на разходи за енергия.</w:t>
      </w:r>
    </w:p>
    <w:p w:rsidR="00380976" w:rsidRPr="00E40567" w:rsidRDefault="00380976" w:rsidP="00E40567">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Клиентът изплаща договорения процент от първоначалните разходи чрез спестяванията в сметките за енергия всеки месец. Възможно е да бъдат оценени и реализирани допълнителни ползи, вкл. финансови, които също са обект на договаряне за разпределение.</w:t>
      </w:r>
    </w:p>
    <w:p w:rsidR="00380976" w:rsidRPr="00E40567" w:rsidRDefault="00380976" w:rsidP="00E40567">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lastRenderedPageBreak/>
        <w:t xml:space="preserve">Договорът за изпълнение при „споделени спестявания“ се </w:t>
      </w:r>
      <w:r w:rsidR="00FE54D5">
        <w:rPr>
          <w:rFonts w:ascii="Times New Roman" w:eastAsia="Calibri" w:hAnsi="Times New Roman" w:cs="Times New Roman"/>
          <w:sz w:val="24"/>
          <w:szCs w:val="24"/>
          <w:lang w:val="bg-BG"/>
        </w:rPr>
        <w:t xml:space="preserve">стреми да генерира икономически </w:t>
      </w:r>
      <w:r w:rsidRPr="00E40567">
        <w:rPr>
          <w:rFonts w:ascii="Times New Roman" w:eastAsia="Calibri" w:hAnsi="Times New Roman" w:cs="Times New Roman"/>
          <w:sz w:val="24"/>
          <w:szCs w:val="24"/>
          <w:lang w:val="bg-BG"/>
        </w:rPr>
        <w:t>измерим, оправдаващ инвестициите в актив резултат за намаляване на потреблението на енергия. Концептуално, договорът позволява на клиента да се възползва от по-ефективната технологична промяна, в резултат на което да намали разходите за амортизация и за енергия, вкл. и себестойността на продукта или услугата. Едновременно с това се генерира печалба за ЕСКО компанията. Плащанията към ЕСКО компанията, доставчик на оборудването, се извършва по план за разсрочено плащане.</w:t>
      </w:r>
    </w:p>
    <w:p w:rsidR="00380976" w:rsidRPr="00E40567" w:rsidRDefault="00380976" w:rsidP="00E40567">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Специфично за този вид договор, за разлика от договора за гарантирани спестявания е, че той има много променливи, в зависимост от всеки конкретен случай. </w:t>
      </w:r>
    </w:p>
    <w:p w:rsidR="00380976" w:rsidRPr="00E40567" w:rsidRDefault="00380976" w:rsidP="00E40567">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Независимо, че е фокусиран върху спестяване на парични средства за енергия и този вид договор се базира на инженерна логика и минава през няколко етапа на предварителна подготовка преди същинското договаряне. Процесът на предварителна подготовка е показан схематично на следващата фигура.</w:t>
      </w:r>
    </w:p>
    <w:tbl>
      <w:tblPr>
        <w:tblStyle w:val="TableGrid"/>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398"/>
      </w:tblGrid>
      <w:tr w:rsidR="00380976" w:rsidRPr="006C20BE" w:rsidTr="00536E81">
        <w:trPr>
          <w:trHeight w:val="1848"/>
        </w:trPr>
        <w:tc>
          <w:tcPr>
            <w:tcW w:w="9250" w:type="dxa"/>
            <w:vAlign w:val="center"/>
            <w:hideMark/>
          </w:tcPr>
          <w:p w:rsidR="00380976" w:rsidRPr="006C20BE" w:rsidRDefault="00380976" w:rsidP="00E40567">
            <w:pPr>
              <w:spacing w:line="360" w:lineRule="auto"/>
              <w:jc w:val="both"/>
              <w:rPr>
                <w:rFonts w:ascii="Verdana" w:eastAsia="Calibri" w:hAnsi="Verdana" w:cs="Times New Roman"/>
              </w:rPr>
            </w:pPr>
            <w:r w:rsidRPr="006C20BE">
              <w:rPr>
                <w:rFonts w:ascii="Verdana" w:eastAsia="Calibri" w:hAnsi="Verdana" w:cs="Times New Roman"/>
                <w:noProof/>
              </w:rPr>
              <w:drawing>
                <wp:inline distT="0" distB="0" distL="0" distR="0" wp14:anchorId="36810409" wp14:editId="0E84980D">
                  <wp:extent cx="6057900" cy="857250"/>
                  <wp:effectExtent l="19050" t="0" r="38100" b="0"/>
                  <wp:docPr id="7" name="Diagram 1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tc>
      </w:tr>
    </w:tbl>
    <w:p w:rsidR="00E40567" w:rsidRDefault="00E40567" w:rsidP="00E40567">
      <w:pPr>
        <w:pStyle w:val="ListParagraph"/>
        <w:numPr>
          <w:ilvl w:val="0"/>
          <w:numId w:val="2"/>
        </w:numPr>
        <w:spacing w:before="240" w:after="240"/>
        <w:ind w:left="0" w:firstLine="11"/>
        <w:rPr>
          <w:rFonts w:ascii="Times New Roman" w:hAnsi="Times New Roman" w:cs="Times New Roman"/>
          <w:b/>
          <w:sz w:val="24"/>
          <w:szCs w:val="24"/>
          <w:lang w:val="bg-BG"/>
        </w:rPr>
      </w:pPr>
      <w:r>
        <w:rPr>
          <w:rFonts w:ascii="Times New Roman" w:hAnsi="Times New Roman" w:cs="Times New Roman"/>
          <w:b/>
          <w:sz w:val="24"/>
          <w:szCs w:val="24"/>
          <w:lang w:val="bg-BG"/>
        </w:rPr>
        <w:t>Схеми за финансиране на ЕСКО проекти</w:t>
      </w:r>
    </w:p>
    <w:p w:rsidR="00E40567" w:rsidRPr="00E40567" w:rsidRDefault="00E40567" w:rsidP="00D2534A">
      <w:pPr>
        <w:spacing w:after="6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Традиционно са разпространени няколко възможности за финансиране на ЕСКО проекти:</w:t>
      </w:r>
    </w:p>
    <w:p w:rsidR="00E40567" w:rsidRPr="00E40567" w:rsidRDefault="00E40567" w:rsidP="00FE54D5">
      <w:pPr>
        <w:numPr>
          <w:ilvl w:val="0"/>
          <w:numId w:val="7"/>
        </w:numPr>
        <w:spacing w:after="60" w:line="276" w:lineRule="auto"/>
        <w:ind w:left="1003" w:hanging="357"/>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финансиране със собствен капитал на ЕСКО компанията; </w:t>
      </w:r>
    </w:p>
    <w:p w:rsidR="00E40567" w:rsidRPr="00E40567" w:rsidRDefault="00E40567" w:rsidP="00FE54D5">
      <w:pPr>
        <w:numPr>
          <w:ilvl w:val="0"/>
          <w:numId w:val="7"/>
        </w:numPr>
        <w:spacing w:after="60" w:line="276" w:lineRule="auto"/>
        <w:ind w:left="1003" w:hanging="357"/>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финансиране от трета страна (банка, финансова институция, револвиращ фонд) с кредитиране на ЕСКО компанията;</w:t>
      </w:r>
    </w:p>
    <w:p w:rsidR="00E40567" w:rsidRPr="00E40567" w:rsidRDefault="00E40567" w:rsidP="00FE54D5">
      <w:pPr>
        <w:numPr>
          <w:ilvl w:val="0"/>
          <w:numId w:val="7"/>
        </w:numPr>
        <w:spacing w:after="60" w:line="276" w:lineRule="auto"/>
        <w:ind w:left="1003" w:hanging="357"/>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финансиране от трета страна (банка, финансова институция, револвиращ фонд) с кредитиране на енергийния потребител, подкрепено от гаранция за енергийни спестявания, предоставена от ЕСКО компанията. </w:t>
      </w:r>
    </w:p>
    <w:p w:rsidR="00E40567" w:rsidRPr="00E40567" w:rsidRDefault="00E40567" w:rsidP="00D2534A">
      <w:pPr>
        <w:numPr>
          <w:ilvl w:val="0"/>
          <w:numId w:val="7"/>
        </w:numPr>
        <w:spacing w:after="120" w:line="276" w:lineRule="auto"/>
        <w:ind w:left="1003" w:hanging="357"/>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финансиране със средства на клиента, подкрепено от гаранция за енергийни спестявания, предоставена от ЕСКО компанията. </w:t>
      </w:r>
    </w:p>
    <w:p w:rsidR="00E40567" w:rsidRPr="00E40567" w:rsidRDefault="00E40567" w:rsidP="00D2534A">
      <w:pPr>
        <w:spacing w:after="12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Основната разлика във вариантите с финансиране от трета страна е кой заема парите за изпълнение на проекта </w:t>
      </w:r>
      <w:r w:rsidR="00D2534A">
        <w:rPr>
          <w:rFonts w:ascii="Times New Roman" w:eastAsia="Calibri" w:hAnsi="Times New Roman" w:cs="Times New Roman"/>
          <w:sz w:val="24"/>
          <w:szCs w:val="24"/>
          <w:lang w:val="bg-BG"/>
        </w:rPr>
        <w:t>–</w:t>
      </w:r>
      <w:r w:rsidRPr="00E40567">
        <w:rPr>
          <w:rFonts w:ascii="Times New Roman" w:eastAsia="Calibri" w:hAnsi="Times New Roman" w:cs="Times New Roman"/>
          <w:sz w:val="24"/>
          <w:szCs w:val="24"/>
          <w:lang w:val="bg-BG"/>
        </w:rPr>
        <w:t xml:space="preserve"> ЕСКО компанията или клиентът-възложител по ЕСКО договора. И в двата случая, когато финансирането е от трета страна, става </w:t>
      </w:r>
      <w:r w:rsidR="00D2534A">
        <w:rPr>
          <w:rFonts w:ascii="Times New Roman" w:eastAsia="Calibri" w:hAnsi="Times New Roman" w:cs="Times New Roman"/>
          <w:sz w:val="24"/>
          <w:szCs w:val="24"/>
          <w:lang w:val="bg-BG"/>
        </w:rPr>
        <w:t>въпрос за дългово  финансиране.</w:t>
      </w:r>
    </w:p>
    <w:p w:rsidR="00E40567" w:rsidRPr="00E40567" w:rsidRDefault="00E40567" w:rsidP="00D2534A">
      <w:pPr>
        <w:spacing w:after="120" w:line="276" w:lineRule="auto"/>
        <w:ind w:firstLine="720"/>
        <w:jc w:val="both"/>
        <w:rPr>
          <w:rFonts w:ascii="Times New Roman" w:eastAsia="Calibri" w:hAnsi="Times New Roman" w:cs="Times New Roman"/>
          <w:sz w:val="24"/>
          <w:szCs w:val="24"/>
          <w:lang w:val="bg-BG"/>
        </w:rPr>
      </w:pPr>
      <w:r w:rsidRPr="00084BEB">
        <w:rPr>
          <w:rFonts w:ascii="Times New Roman" w:eastAsia="Calibri" w:hAnsi="Times New Roman" w:cs="Times New Roman"/>
          <w:sz w:val="24"/>
          <w:szCs w:val="24"/>
          <w:lang w:val="bg-BG"/>
        </w:rPr>
        <w:lastRenderedPageBreak/>
        <w:t>В случая, когато ЕСКО компанията привлича външни финансови източници за своите проекти, в зависимост от персоналното кредитно доверие към компанията, тя може да бъде одобрена за финансиране и да уп</w:t>
      </w:r>
      <w:r w:rsidR="00D2534A" w:rsidRPr="00084BEB">
        <w:rPr>
          <w:rFonts w:ascii="Times New Roman" w:eastAsia="Calibri" w:hAnsi="Times New Roman" w:cs="Times New Roman"/>
          <w:sz w:val="24"/>
          <w:szCs w:val="24"/>
          <w:lang w:val="bg-BG"/>
        </w:rPr>
        <w:t>равлява кредитен портфейл, чрез</w:t>
      </w:r>
      <w:r w:rsidRPr="00084BEB">
        <w:rPr>
          <w:rFonts w:ascii="Times New Roman" w:eastAsia="Calibri" w:hAnsi="Times New Roman" w:cs="Times New Roman"/>
          <w:sz w:val="24"/>
          <w:szCs w:val="24"/>
          <w:lang w:val="bg-BG"/>
        </w:rPr>
        <w:t xml:space="preserve"> който да финансира проектите на своите клиенти. В този вариант ЕСКО компанията може да развива по-широка дейност в проекти за енергийна ефективност, но е изложена на кредитен риск при </w:t>
      </w:r>
      <w:proofErr w:type="spellStart"/>
      <w:r w:rsidRPr="00084BEB">
        <w:rPr>
          <w:rFonts w:ascii="Times New Roman" w:eastAsia="Calibri" w:hAnsi="Times New Roman" w:cs="Times New Roman"/>
          <w:sz w:val="24"/>
          <w:szCs w:val="24"/>
          <w:lang w:val="bg-BG"/>
        </w:rPr>
        <w:t>неизплащане</w:t>
      </w:r>
      <w:proofErr w:type="spellEnd"/>
      <w:r w:rsidRPr="00084BEB">
        <w:rPr>
          <w:rFonts w:ascii="Times New Roman" w:eastAsia="Calibri" w:hAnsi="Times New Roman" w:cs="Times New Roman"/>
          <w:sz w:val="24"/>
          <w:szCs w:val="24"/>
          <w:lang w:val="bg-BG"/>
        </w:rPr>
        <w:t xml:space="preserve"> на задълженията от клиентите.</w:t>
      </w:r>
      <w:r w:rsidRPr="00E40567">
        <w:rPr>
          <w:rFonts w:ascii="Times New Roman" w:eastAsia="Calibri" w:hAnsi="Times New Roman" w:cs="Times New Roman"/>
          <w:sz w:val="24"/>
          <w:szCs w:val="24"/>
          <w:lang w:val="bg-BG"/>
        </w:rPr>
        <w:t xml:space="preserve"> </w:t>
      </w:r>
    </w:p>
    <w:p w:rsidR="00E40567" w:rsidRPr="00E40567" w:rsidRDefault="00E40567" w:rsidP="00D2534A">
      <w:pPr>
        <w:spacing w:after="60" w:line="276" w:lineRule="auto"/>
        <w:ind w:firstLine="720"/>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Възможни са различни варианти на партньорство на ЕСКО компанията с финансовите институции, като най-често са приложими следните модели на финансиране:  </w:t>
      </w:r>
    </w:p>
    <w:p w:rsidR="00E40567" w:rsidRPr="00E40567" w:rsidRDefault="00E40567" w:rsidP="00D2534A">
      <w:pPr>
        <w:numPr>
          <w:ilvl w:val="0"/>
          <w:numId w:val="8"/>
        </w:numPr>
        <w:spacing w:after="60" w:line="276" w:lineRule="auto"/>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Директно кредитиране към ЕСКО компанията за конкретни проекти;</w:t>
      </w:r>
    </w:p>
    <w:p w:rsidR="00E40567" w:rsidRPr="00E40567" w:rsidRDefault="00E40567" w:rsidP="00D2534A">
      <w:pPr>
        <w:numPr>
          <w:ilvl w:val="0"/>
          <w:numId w:val="8"/>
        </w:numPr>
        <w:spacing w:after="60" w:line="276" w:lineRule="auto"/>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Изкупуване на вземания по ЕСКО проекти</w:t>
      </w:r>
      <w:r w:rsidR="00FE54D5">
        <w:rPr>
          <w:rFonts w:ascii="Times New Roman" w:eastAsia="Calibri" w:hAnsi="Times New Roman" w:cs="Times New Roman"/>
          <w:sz w:val="24"/>
          <w:szCs w:val="24"/>
          <w:lang w:val="bg-BG"/>
        </w:rPr>
        <w:t xml:space="preserve"> - в</w:t>
      </w:r>
      <w:r w:rsidRPr="00E40567">
        <w:rPr>
          <w:rFonts w:ascii="Times New Roman" w:eastAsia="Calibri" w:hAnsi="Times New Roman" w:cs="Times New Roman"/>
          <w:sz w:val="24"/>
          <w:szCs w:val="24"/>
          <w:lang w:val="bg-BG"/>
        </w:rPr>
        <w:t xml:space="preserve"> този случай средствата, предоставени от финансовата институция, представляват цена по цесията;</w:t>
      </w:r>
    </w:p>
    <w:p w:rsidR="00E40567" w:rsidRPr="00E40567" w:rsidRDefault="00E40567" w:rsidP="004E2549">
      <w:pPr>
        <w:numPr>
          <w:ilvl w:val="0"/>
          <w:numId w:val="8"/>
        </w:numPr>
        <w:spacing w:after="240" w:line="276" w:lineRule="auto"/>
        <w:ind w:left="1077" w:hanging="357"/>
        <w:jc w:val="both"/>
        <w:rPr>
          <w:rFonts w:ascii="Times New Roman" w:eastAsia="Calibri" w:hAnsi="Times New Roman" w:cs="Times New Roman"/>
          <w:sz w:val="24"/>
          <w:szCs w:val="24"/>
          <w:lang w:val="bg-BG"/>
        </w:rPr>
      </w:pPr>
      <w:r w:rsidRPr="00E40567">
        <w:rPr>
          <w:rFonts w:ascii="Times New Roman" w:eastAsia="Calibri" w:hAnsi="Times New Roman" w:cs="Times New Roman"/>
          <w:sz w:val="24"/>
          <w:szCs w:val="24"/>
          <w:lang w:val="bg-BG"/>
        </w:rPr>
        <w:t xml:space="preserve">Механизъм на финансиране при издаване на </w:t>
      </w:r>
      <w:proofErr w:type="spellStart"/>
      <w:r w:rsidRPr="00E40567">
        <w:rPr>
          <w:rFonts w:ascii="Times New Roman" w:eastAsia="Calibri" w:hAnsi="Times New Roman" w:cs="Times New Roman"/>
          <w:sz w:val="24"/>
          <w:szCs w:val="24"/>
          <w:lang w:val="bg-BG"/>
        </w:rPr>
        <w:t>портфейлни</w:t>
      </w:r>
      <w:proofErr w:type="spellEnd"/>
      <w:r w:rsidRPr="00E40567">
        <w:rPr>
          <w:rFonts w:ascii="Times New Roman" w:eastAsia="Calibri" w:hAnsi="Times New Roman" w:cs="Times New Roman"/>
          <w:sz w:val="24"/>
          <w:szCs w:val="24"/>
          <w:lang w:val="bg-BG"/>
        </w:rPr>
        <w:t xml:space="preserve"> гаранции.</w:t>
      </w:r>
    </w:p>
    <w:p w:rsidR="004E2549" w:rsidRDefault="004E2549" w:rsidP="00D2534A">
      <w:pPr>
        <w:spacing w:after="120" w:line="276" w:lineRule="auto"/>
        <w:ind w:firstLine="720"/>
        <w:jc w:val="both"/>
        <w:rPr>
          <w:rFonts w:ascii="Times New Roman" w:eastAsia="Calibri" w:hAnsi="Times New Roman" w:cs="Times New Roman"/>
          <w:sz w:val="24"/>
          <w:szCs w:val="24"/>
          <w:lang w:val="bg-BG"/>
        </w:rPr>
      </w:pPr>
      <w:r>
        <w:rPr>
          <w:rFonts w:ascii="Times New Roman" w:eastAsia="Calibri" w:hAnsi="Times New Roman" w:cs="Times New Roman"/>
          <w:sz w:val="24"/>
          <w:szCs w:val="24"/>
          <w:lang w:val="bg-BG"/>
        </w:rPr>
        <w:t xml:space="preserve">На фигурите по-долу са показани два от възможните механизми за финансиране на ЕСКО компанията: </w:t>
      </w:r>
    </w:p>
    <w:p w:rsidR="00D57385" w:rsidRPr="00D57385" w:rsidRDefault="00D57385" w:rsidP="000F3B75">
      <w:pPr>
        <w:spacing w:before="240" w:after="0" w:line="276" w:lineRule="auto"/>
        <w:jc w:val="center"/>
        <w:rPr>
          <w:rFonts w:ascii="Times New Roman" w:eastAsia="Calibri" w:hAnsi="Times New Roman" w:cs="Times New Roman"/>
          <w:b/>
          <w:i/>
          <w:sz w:val="24"/>
          <w:szCs w:val="24"/>
          <w:lang w:val="bg-BG"/>
        </w:rPr>
      </w:pPr>
      <w:r w:rsidRPr="00D57385">
        <w:rPr>
          <w:rFonts w:ascii="Times New Roman" w:eastAsia="Calibri" w:hAnsi="Times New Roman" w:cs="Times New Roman"/>
          <w:b/>
          <w:i/>
          <w:sz w:val="24"/>
          <w:szCs w:val="24"/>
          <w:lang w:val="bg-BG"/>
        </w:rPr>
        <w:t>Механизъм за финансиране чрез кредитиране на ЕСКО компания</w:t>
      </w:r>
    </w:p>
    <w:tbl>
      <w:tblPr>
        <w:tblStyle w:val="TableGrid"/>
        <w:tblW w:w="9536"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536"/>
      </w:tblGrid>
      <w:tr w:rsidR="00E40567" w:rsidRPr="00E40567" w:rsidTr="00D57385">
        <w:trPr>
          <w:trHeight w:val="5210"/>
        </w:trPr>
        <w:tc>
          <w:tcPr>
            <w:tcW w:w="9536" w:type="dxa"/>
            <w:vAlign w:val="center"/>
          </w:tcPr>
          <w:p w:rsidR="00E40567" w:rsidRPr="00E40567" w:rsidRDefault="00E40567" w:rsidP="00D57385">
            <w:pPr>
              <w:spacing w:line="276" w:lineRule="auto"/>
              <w:jc w:val="center"/>
              <w:rPr>
                <w:rFonts w:ascii="Times New Roman" w:eastAsia="Calibri" w:hAnsi="Times New Roman" w:cs="Times New Roman"/>
                <w:sz w:val="24"/>
                <w:szCs w:val="24"/>
                <w:lang w:val="bg-BG"/>
              </w:rPr>
            </w:pPr>
            <w:r w:rsidRPr="00E40567">
              <w:rPr>
                <w:rFonts w:ascii="Times New Roman" w:hAnsi="Times New Roman" w:cs="Times New Roman"/>
                <w:noProof/>
                <w:sz w:val="24"/>
                <w:szCs w:val="24"/>
              </w:rPr>
              <w:drawing>
                <wp:inline distT="0" distB="0" distL="0" distR="0" wp14:anchorId="635E28F6" wp14:editId="2E56437B">
                  <wp:extent cx="4822226" cy="4105275"/>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b="2525"/>
                          <a:stretch/>
                        </pic:blipFill>
                        <pic:spPr bwMode="auto">
                          <a:xfrm>
                            <a:off x="0" y="0"/>
                            <a:ext cx="4874064" cy="4149406"/>
                          </a:xfrm>
                          <a:prstGeom prst="rect">
                            <a:avLst/>
                          </a:prstGeom>
                          <a:ln>
                            <a:noFill/>
                          </a:ln>
                          <a:extLst>
                            <a:ext uri="{53640926-AAD7-44D8-BBD7-CCE9431645EC}">
                              <a14:shadowObscured xmlns:a14="http://schemas.microsoft.com/office/drawing/2010/main"/>
                            </a:ext>
                          </a:extLst>
                        </pic:spPr>
                      </pic:pic>
                    </a:graphicData>
                  </a:graphic>
                </wp:inline>
              </w:drawing>
            </w:r>
          </w:p>
        </w:tc>
      </w:tr>
    </w:tbl>
    <w:p w:rsidR="00E40567" w:rsidRPr="00E40567" w:rsidRDefault="00E40567" w:rsidP="00E40567">
      <w:pPr>
        <w:spacing w:after="0" w:line="276" w:lineRule="auto"/>
        <w:ind w:firstLine="720"/>
        <w:jc w:val="both"/>
        <w:rPr>
          <w:rFonts w:ascii="Times New Roman" w:eastAsia="Calibri" w:hAnsi="Times New Roman" w:cs="Times New Roman"/>
          <w:sz w:val="24"/>
          <w:szCs w:val="24"/>
          <w:lang w:val="bg-BG"/>
        </w:rPr>
      </w:pPr>
    </w:p>
    <w:p w:rsidR="00D57385" w:rsidRDefault="00D57385" w:rsidP="00D57385">
      <w:pPr>
        <w:spacing w:after="0" w:line="276" w:lineRule="auto"/>
        <w:jc w:val="center"/>
        <w:rPr>
          <w:rFonts w:ascii="Times New Roman" w:eastAsia="Calibri" w:hAnsi="Times New Roman" w:cs="Times New Roman"/>
          <w:b/>
          <w:i/>
          <w:sz w:val="24"/>
          <w:szCs w:val="24"/>
          <w:lang w:val="bg-BG"/>
        </w:rPr>
      </w:pPr>
      <w:r w:rsidRPr="00D57385">
        <w:rPr>
          <w:rFonts w:ascii="Times New Roman" w:eastAsia="Calibri" w:hAnsi="Times New Roman" w:cs="Times New Roman"/>
          <w:b/>
          <w:i/>
          <w:sz w:val="24"/>
          <w:szCs w:val="24"/>
          <w:lang w:val="bg-BG"/>
        </w:rPr>
        <w:t>Механизъм за финанси</w:t>
      </w:r>
      <w:r>
        <w:rPr>
          <w:rFonts w:ascii="Times New Roman" w:eastAsia="Calibri" w:hAnsi="Times New Roman" w:cs="Times New Roman"/>
          <w:b/>
          <w:i/>
          <w:sz w:val="24"/>
          <w:szCs w:val="24"/>
          <w:lang w:val="bg-BG"/>
        </w:rPr>
        <w:t xml:space="preserve">ране чрез </w:t>
      </w:r>
      <w:proofErr w:type="spellStart"/>
      <w:r>
        <w:rPr>
          <w:rFonts w:ascii="Times New Roman" w:eastAsia="Calibri" w:hAnsi="Times New Roman" w:cs="Times New Roman"/>
          <w:b/>
          <w:i/>
          <w:sz w:val="24"/>
          <w:szCs w:val="24"/>
          <w:lang w:val="bg-BG"/>
        </w:rPr>
        <w:t>портфейлни</w:t>
      </w:r>
      <w:proofErr w:type="spellEnd"/>
      <w:r>
        <w:rPr>
          <w:rFonts w:ascii="Times New Roman" w:eastAsia="Calibri" w:hAnsi="Times New Roman" w:cs="Times New Roman"/>
          <w:b/>
          <w:i/>
          <w:sz w:val="24"/>
          <w:szCs w:val="24"/>
          <w:lang w:val="bg-BG"/>
        </w:rPr>
        <w:t xml:space="preserve"> гаранции</w:t>
      </w:r>
    </w:p>
    <w:p w:rsidR="00D57385" w:rsidRPr="00D57385" w:rsidRDefault="00D57385" w:rsidP="00D57385">
      <w:pPr>
        <w:spacing w:after="120" w:line="276" w:lineRule="auto"/>
        <w:jc w:val="center"/>
        <w:rPr>
          <w:rFonts w:ascii="Times New Roman" w:eastAsia="Calibri" w:hAnsi="Times New Roman" w:cs="Times New Roman"/>
          <w:b/>
          <w:i/>
          <w:sz w:val="24"/>
          <w:szCs w:val="24"/>
          <w:lang w:val="bg-BG"/>
        </w:rPr>
      </w:pPr>
      <w:r>
        <w:rPr>
          <w:rFonts w:ascii="Times New Roman" w:eastAsia="Calibri" w:hAnsi="Times New Roman" w:cs="Times New Roman"/>
          <w:b/>
          <w:i/>
          <w:sz w:val="24"/>
          <w:szCs w:val="24"/>
          <w:lang w:val="bg-BG"/>
        </w:rPr>
        <w:t>(</w:t>
      </w:r>
      <w:r w:rsidRPr="00D57385">
        <w:rPr>
          <w:rFonts w:ascii="Times New Roman" w:eastAsia="Calibri" w:hAnsi="Times New Roman" w:cs="Times New Roman"/>
          <w:b/>
          <w:i/>
          <w:sz w:val="24"/>
          <w:szCs w:val="24"/>
          <w:lang w:val="bg-BG"/>
        </w:rPr>
        <w:t>Схемата е разработена и прилагана от Фонд „Енергийна ефективност и възобновяеми източници“ за България</w:t>
      </w:r>
      <w:r>
        <w:rPr>
          <w:rFonts w:ascii="Times New Roman" w:eastAsia="Calibri" w:hAnsi="Times New Roman" w:cs="Times New Roman"/>
          <w:b/>
          <w:i/>
          <w:sz w:val="24"/>
          <w:szCs w:val="24"/>
          <w:lang w:val="bg-BG"/>
        </w:rPr>
        <w:t>)</w:t>
      </w:r>
    </w:p>
    <w:tbl>
      <w:tblPr>
        <w:tblStyle w:val="TableGrid"/>
        <w:tblW w:w="9536"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536"/>
      </w:tblGrid>
      <w:tr w:rsidR="004E2549" w:rsidRPr="00E40567" w:rsidTr="00D57385">
        <w:trPr>
          <w:trHeight w:val="4014"/>
        </w:trPr>
        <w:tc>
          <w:tcPr>
            <w:tcW w:w="9536" w:type="dxa"/>
            <w:vAlign w:val="center"/>
          </w:tcPr>
          <w:p w:rsidR="00E40567" w:rsidRPr="00E40567" w:rsidRDefault="00E40567" w:rsidP="00252431">
            <w:pPr>
              <w:spacing w:line="276" w:lineRule="auto"/>
              <w:jc w:val="center"/>
              <w:rPr>
                <w:rFonts w:ascii="Times New Roman" w:eastAsia="Calibri" w:hAnsi="Times New Roman" w:cs="Times New Roman"/>
                <w:sz w:val="24"/>
                <w:szCs w:val="24"/>
                <w:lang w:val="bg-BG"/>
              </w:rPr>
            </w:pPr>
            <w:r w:rsidRPr="00E40567">
              <w:rPr>
                <w:rFonts w:ascii="Times New Roman" w:eastAsia="Calibri" w:hAnsi="Times New Roman" w:cs="Times New Roman"/>
                <w:noProof/>
                <w:sz w:val="24"/>
                <w:szCs w:val="24"/>
              </w:rPr>
              <w:drawing>
                <wp:inline distT="0" distB="0" distL="0" distR="0" wp14:anchorId="3E677E8E" wp14:editId="236EE242">
                  <wp:extent cx="5519420" cy="2724150"/>
                  <wp:effectExtent l="0" t="0" r="5080" b="0"/>
                  <wp:docPr id="9" name="Picture 189" descr="https://www.bgeef.com/wp-content/uploads/2018/03/portfolio_esco_new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bgeef.com/wp-content/uploads/2018/03/portfolio_esco_new_bg.jpg"/>
                          <pic:cNvPicPr>
                            <a:picLocks noChangeAspect="1" noChangeArrowheads="1"/>
                          </pic:cNvPicPr>
                        </pic:nvPicPr>
                        <pic:blipFill rotWithShape="1">
                          <a:blip r:embed="rId19">
                            <a:extLst>
                              <a:ext uri="{28A0092B-C50C-407E-A947-70E740481C1C}">
                                <a14:useLocalDpi xmlns:a14="http://schemas.microsoft.com/office/drawing/2010/main" val="0"/>
                              </a:ext>
                            </a:extLst>
                          </a:blip>
                          <a:srcRect t="4396" b="-2753"/>
                          <a:stretch/>
                        </pic:blipFill>
                        <pic:spPr bwMode="auto">
                          <a:xfrm>
                            <a:off x="0" y="0"/>
                            <a:ext cx="5526062" cy="272742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2E0B91" w:rsidRDefault="00084BEB" w:rsidP="007C2AF4">
      <w:pPr>
        <w:spacing w:after="120" w:line="276" w:lineRule="auto"/>
        <w:ind w:firstLine="720"/>
        <w:jc w:val="both"/>
        <w:rPr>
          <w:rFonts w:ascii="Times New Roman" w:eastAsia="Calibri" w:hAnsi="Times New Roman" w:cs="Times New Roman"/>
          <w:sz w:val="24"/>
          <w:szCs w:val="24"/>
          <w:lang w:val="bg-BG"/>
        </w:rPr>
      </w:pPr>
      <w:r w:rsidRPr="00084BEB">
        <w:rPr>
          <w:rFonts w:ascii="Times New Roman" w:eastAsia="Calibri" w:hAnsi="Times New Roman" w:cs="Times New Roman"/>
          <w:sz w:val="24"/>
          <w:szCs w:val="24"/>
          <w:lang w:val="bg-BG"/>
        </w:rPr>
        <w:t>Възможен вариант</w:t>
      </w:r>
      <w:r w:rsidR="00E40567" w:rsidRPr="00084BEB">
        <w:rPr>
          <w:rFonts w:ascii="Times New Roman" w:eastAsia="Calibri" w:hAnsi="Times New Roman" w:cs="Times New Roman"/>
          <w:sz w:val="24"/>
          <w:szCs w:val="24"/>
          <w:lang w:val="bg-BG"/>
        </w:rPr>
        <w:t xml:space="preserve"> при намиране на пазар за услугата,</w:t>
      </w:r>
      <w:r w:rsidRPr="00084BEB">
        <w:rPr>
          <w:rFonts w:ascii="Times New Roman" w:eastAsia="Calibri" w:hAnsi="Times New Roman" w:cs="Times New Roman"/>
          <w:sz w:val="24"/>
          <w:szCs w:val="24"/>
          <w:lang w:val="bg-BG"/>
        </w:rPr>
        <w:t xml:space="preserve"> е да се</w:t>
      </w:r>
      <w:r w:rsidR="00E40567" w:rsidRPr="00084BEB">
        <w:rPr>
          <w:rFonts w:ascii="Times New Roman" w:eastAsia="Calibri" w:hAnsi="Times New Roman" w:cs="Times New Roman"/>
          <w:sz w:val="24"/>
          <w:szCs w:val="24"/>
          <w:lang w:val="bg-BG"/>
        </w:rPr>
        <w:t xml:space="preserve"> </w:t>
      </w:r>
      <w:r w:rsidRPr="00084BEB">
        <w:rPr>
          <w:rFonts w:ascii="Times New Roman" w:eastAsia="Calibri" w:hAnsi="Times New Roman" w:cs="Times New Roman"/>
          <w:sz w:val="24"/>
          <w:szCs w:val="24"/>
          <w:lang w:val="bg-BG"/>
        </w:rPr>
        <w:t xml:space="preserve">прибегне </w:t>
      </w:r>
      <w:r w:rsidR="00E40567" w:rsidRPr="00084BEB">
        <w:rPr>
          <w:rFonts w:ascii="Times New Roman" w:eastAsia="Calibri" w:hAnsi="Times New Roman" w:cs="Times New Roman"/>
          <w:sz w:val="24"/>
          <w:szCs w:val="24"/>
          <w:lang w:val="bg-BG"/>
        </w:rPr>
        <w:t>към модела за кредитиране на клиентите на ЕСКО компанията.</w:t>
      </w:r>
      <w:r w:rsidRPr="00084BEB">
        <w:rPr>
          <w:rFonts w:ascii="Times New Roman" w:eastAsia="Calibri" w:hAnsi="Times New Roman" w:cs="Times New Roman"/>
          <w:sz w:val="24"/>
          <w:szCs w:val="24"/>
          <w:lang w:val="bg-BG"/>
        </w:rPr>
        <w:t xml:space="preserve"> </w:t>
      </w:r>
      <w:r w:rsidR="00E40567" w:rsidRPr="00084BEB">
        <w:rPr>
          <w:rFonts w:ascii="Times New Roman" w:eastAsia="Calibri" w:hAnsi="Times New Roman" w:cs="Times New Roman"/>
          <w:sz w:val="24"/>
          <w:szCs w:val="24"/>
          <w:lang w:val="bg-BG"/>
        </w:rPr>
        <w:t>В</w:t>
      </w:r>
      <w:r w:rsidR="00E40567" w:rsidRPr="00E40567">
        <w:rPr>
          <w:rFonts w:ascii="Times New Roman" w:eastAsia="Calibri" w:hAnsi="Times New Roman" w:cs="Times New Roman"/>
          <w:sz w:val="24"/>
          <w:szCs w:val="24"/>
          <w:lang w:val="bg-BG"/>
        </w:rPr>
        <w:t xml:space="preserve"> случая, когато клиентът взима заем от финансова институция, той е подкрепен пред кредитора от ЕСКО компанията с договора за гарантиране на енергийните спестявания. Това е най-често разпространеният случай при договарянето с гарантиран резултат. Целта на гаранцията за спестяванията е да се покаже на банката, че проектът, с който кредитополучателят се заема, ще генерира положителен паричен поток, т.е. че енергийните спестявания със сигурност ще се постигнат и ще покрият погасяването на дълга по кредита. По този начин гаранцията за спестяване на енергия намалява усещането за риск на банката, което има отражение върху лихвените проценти, при които се придобива финансирането. Съществен момент в този случай, от който е силно повлияно решението на банката и размерът на финансирането, е кредитната история на кредитополучателя. Ето защо има случаи, в които е възможно да се приложи смесено финансиране – част от средствата да са на клиента, а останалата част са заем от банка или част от средствата да са заем от банка, а останалата част от ЕСКО компаният</w:t>
      </w:r>
      <w:r w:rsidR="002531BD">
        <w:rPr>
          <w:rFonts w:ascii="Times New Roman" w:eastAsia="Calibri" w:hAnsi="Times New Roman" w:cs="Times New Roman"/>
          <w:sz w:val="24"/>
          <w:szCs w:val="24"/>
          <w:lang w:val="bg-BG"/>
        </w:rPr>
        <w:t xml:space="preserve">а (собствен и заемен капитал). </w:t>
      </w:r>
      <w:r w:rsidR="00E40567" w:rsidRPr="00E40567">
        <w:rPr>
          <w:rFonts w:ascii="Times New Roman" w:eastAsia="Calibri" w:hAnsi="Times New Roman" w:cs="Times New Roman"/>
          <w:sz w:val="24"/>
          <w:szCs w:val="24"/>
          <w:lang w:val="bg-BG"/>
        </w:rPr>
        <w:t>Във всички такива случаи неспособността на клиентите да отговорят на критериите за кредитоспособност и разходите за дялово финансиране са някои от факторите, които определят дали ЕСКО компанията ще пр</w:t>
      </w:r>
      <w:r w:rsidR="007C2AF4">
        <w:rPr>
          <w:rFonts w:ascii="Times New Roman" w:eastAsia="Calibri" w:hAnsi="Times New Roman" w:cs="Times New Roman"/>
          <w:sz w:val="24"/>
          <w:szCs w:val="24"/>
          <w:lang w:val="bg-BG"/>
        </w:rPr>
        <w:t>едостави част от финансирането.</w:t>
      </w:r>
    </w:p>
    <w:p w:rsidR="00252431" w:rsidRDefault="00252431" w:rsidP="007C2AF4">
      <w:pPr>
        <w:spacing w:after="0" w:line="276" w:lineRule="auto"/>
        <w:ind w:left="1134" w:right="1422"/>
        <w:jc w:val="center"/>
        <w:rPr>
          <w:rFonts w:ascii="Times New Roman" w:eastAsia="Calibri" w:hAnsi="Times New Roman" w:cs="Times New Roman"/>
          <w:b/>
          <w:i/>
          <w:sz w:val="24"/>
          <w:szCs w:val="24"/>
          <w:lang w:val="bg-BG"/>
        </w:rPr>
      </w:pPr>
    </w:p>
    <w:p w:rsidR="007C2AF4" w:rsidRPr="002E0B91" w:rsidRDefault="007C2AF4" w:rsidP="007C2AF4">
      <w:pPr>
        <w:spacing w:after="0" w:line="276" w:lineRule="auto"/>
        <w:ind w:left="1134" w:right="1422"/>
        <w:jc w:val="center"/>
        <w:rPr>
          <w:rFonts w:ascii="Times New Roman" w:eastAsia="Calibri" w:hAnsi="Times New Roman" w:cs="Times New Roman"/>
          <w:b/>
          <w:i/>
          <w:sz w:val="24"/>
          <w:szCs w:val="24"/>
          <w:lang w:val="bg-BG"/>
        </w:rPr>
      </w:pPr>
      <w:r w:rsidRPr="002E0B91">
        <w:rPr>
          <w:rFonts w:ascii="Times New Roman" w:eastAsia="Calibri" w:hAnsi="Times New Roman" w:cs="Times New Roman"/>
          <w:b/>
          <w:i/>
          <w:sz w:val="24"/>
          <w:szCs w:val="24"/>
          <w:lang w:val="bg-BG"/>
        </w:rPr>
        <w:t>Идейна схема за финансиране на ЕСКО проект с кредитиране на клиент-възложител по ЕСКО договор</w:t>
      </w:r>
    </w:p>
    <w:tbl>
      <w:tblPr>
        <w:tblStyle w:val="TableGrid"/>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250"/>
      </w:tblGrid>
      <w:tr w:rsidR="007C2AF4" w:rsidRPr="00E40567" w:rsidTr="00B96944">
        <w:trPr>
          <w:trHeight w:val="4345"/>
        </w:trPr>
        <w:tc>
          <w:tcPr>
            <w:tcW w:w="9250" w:type="dxa"/>
            <w:vAlign w:val="center"/>
          </w:tcPr>
          <w:p w:rsidR="007C2AF4" w:rsidRPr="00E40567" w:rsidRDefault="007C2AF4" w:rsidP="00B96944">
            <w:pPr>
              <w:spacing w:line="276" w:lineRule="auto"/>
              <w:ind w:firstLine="720"/>
              <w:jc w:val="center"/>
              <w:rPr>
                <w:rFonts w:ascii="Times New Roman" w:eastAsia="Calibri" w:hAnsi="Times New Roman" w:cs="Times New Roman"/>
                <w:sz w:val="24"/>
                <w:szCs w:val="24"/>
                <w:lang w:val="bg-BG"/>
              </w:rPr>
            </w:pPr>
            <w:r w:rsidRPr="00E40567">
              <w:rPr>
                <w:rFonts w:ascii="Times New Roman" w:eastAsia="Calibri" w:hAnsi="Times New Roman" w:cs="Times New Roman"/>
                <w:noProof/>
                <w:sz w:val="24"/>
                <w:szCs w:val="24"/>
              </w:rPr>
              <w:drawing>
                <wp:inline distT="0" distB="0" distL="0" distR="0" wp14:anchorId="381D7CD7" wp14:editId="5E4B1673">
                  <wp:extent cx="4267200" cy="2999284"/>
                  <wp:effectExtent l="0" t="0" r="0" b="0"/>
                  <wp:docPr id="10"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0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06887" cy="3027179"/>
                          </a:xfrm>
                          <a:prstGeom prst="rect">
                            <a:avLst/>
                          </a:prstGeom>
                          <a:noFill/>
                          <a:ln>
                            <a:noFill/>
                          </a:ln>
                        </pic:spPr>
                      </pic:pic>
                    </a:graphicData>
                  </a:graphic>
                </wp:inline>
              </w:drawing>
            </w:r>
          </w:p>
        </w:tc>
      </w:tr>
    </w:tbl>
    <w:p w:rsidR="007C2AF4" w:rsidRPr="002E0B91" w:rsidRDefault="007C2AF4" w:rsidP="007C2AF4">
      <w:pPr>
        <w:spacing w:before="240" w:after="0" w:line="276" w:lineRule="auto"/>
        <w:ind w:left="1134" w:right="1423"/>
        <w:jc w:val="center"/>
        <w:rPr>
          <w:rFonts w:ascii="Times New Roman" w:eastAsia="Calibri" w:hAnsi="Times New Roman" w:cs="Times New Roman"/>
          <w:b/>
          <w:i/>
          <w:sz w:val="24"/>
          <w:szCs w:val="24"/>
          <w:lang w:val="bg-BG"/>
        </w:rPr>
      </w:pPr>
      <w:r w:rsidRPr="002E0B91">
        <w:rPr>
          <w:rFonts w:ascii="Times New Roman" w:eastAsia="Calibri" w:hAnsi="Times New Roman" w:cs="Times New Roman"/>
          <w:b/>
          <w:i/>
          <w:sz w:val="24"/>
          <w:szCs w:val="24"/>
          <w:lang w:val="bg-BG"/>
        </w:rPr>
        <w:t xml:space="preserve">Идейна схема за финансиране на сграда или промишлено предприятие с кредит от търговска банка, която партнира с гаранционен фонд за допълнително обезпечаване на кредита </w:t>
      </w:r>
    </w:p>
    <w:tbl>
      <w:tblPr>
        <w:tblStyle w:val="TableGrid"/>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250"/>
      </w:tblGrid>
      <w:tr w:rsidR="007C2AF4" w:rsidRPr="00E40567" w:rsidTr="00B96944">
        <w:trPr>
          <w:trHeight w:val="4253"/>
        </w:trPr>
        <w:tc>
          <w:tcPr>
            <w:tcW w:w="9250" w:type="dxa"/>
            <w:vAlign w:val="center"/>
          </w:tcPr>
          <w:p w:rsidR="007C2AF4" w:rsidRPr="00E40567" w:rsidRDefault="007C2AF4" w:rsidP="00B96944">
            <w:pPr>
              <w:spacing w:line="276" w:lineRule="auto"/>
              <w:ind w:firstLine="720"/>
              <w:jc w:val="center"/>
              <w:rPr>
                <w:rFonts w:ascii="Times New Roman" w:eastAsia="Calibri" w:hAnsi="Times New Roman" w:cs="Times New Roman"/>
                <w:sz w:val="24"/>
                <w:szCs w:val="24"/>
                <w:lang w:val="bg-BG"/>
              </w:rPr>
            </w:pPr>
            <w:r w:rsidRPr="00E40567">
              <w:rPr>
                <w:rFonts w:ascii="Times New Roman" w:eastAsia="Calibri" w:hAnsi="Times New Roman" w:cs="Times New Roman"/>
                <w:noProof/>
                <w:sz w:val="24"/>
                <w:szCs w:val="24"/>
              </w:rPr>
              <w:drawing>
                <wp:inline distT="0" distB="0" distL="0" distR="0" wp14:anchorId="01A92B86" wp14:editId="51F75CD1">
                  <wp:extent cx="4505325" cy="3147373"/>
                  <wp:effectExtent l="0" t="0" r="0" b="0"/>
                  <wp:docPr id="11"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316"/>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299" b="1757"/>
                          <a:stretch/>
                        </pic:blipFill>
                        <pic:spPr bwMode="auto">
                          <a:xfrm>
                            <a:off x="0" y="0"/>
                            <a:ext cx="4554820" cy="3181949"/>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0" w:name="_GoBack"/>
        <w:bookmarkEnd w:id="0"/>
      </w:tr>
    </w:tbl>
    <w:p w:rsidR="00E40567" w:rsidRPr="000F3B75" w:rsidRDefault="00E40567" w:rsidP="008A762D">
      <w:pPr>
        <w:spacing w:before="240" w:after="240" w:line="276" w:lineRule="auto"/>
        <w:rPr>
          <w:rFonts w:ascii="Times New Roman" w:hAnsi="Times New Roman" w:cs="Times New Roman"/>
          <w:b/>
          <w:sz w:val="24"/>
          <w:szCs w:val="24"/>
          <w:lang w:val="bg-BG"/>
        </w:rPr>
      </w:pPr>
    </w:p>
    <w:sectPr w:rsidR="00E40567" w:rsidRPr="000F3B75">
      <w:headerReference w:type="default" r:id="rId22"/>
      <w:footerReference w:type="defaul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0585" w:rsidRDefault="00F10585" w:rsidP="00E40567">
      <w:pPr>
        <w:spacing w:after="0" w:line="240" w:lineRule="auto"/>
      </w:pPr>
      <w:r>
        <w:separator/>
      </w:r>
    </w:p>
  </w:endnote>
  <w:endnote w:type="continuationSeparator" w:id="0">
    <w:p w:rsidR="00F10585" w:rsidRDefault="00F10585" w:rsidP="00E405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9743905"/>
      <w:docPartObj>
        <w:docPartGallery w:val="Page Numbers (Bottom of Page)"/>
        <w:docPartUnique/>
      </w:docPartObj>
    </w:sdtPr>
    <w:sdtEndPr>
      <w:rPr>
        <w:rFonts w:ascii="Times New Roman" w:hAnsi="Times New Roman" w:cs="Times New Roman"/>
        <w:noProof/>
        <w:sz w:val="24"/>
        <w:szCs w:val="24"/>
      </w:rPr>
    </w:sdtEndPr>
    <w:sdtContent>
      <w:p w:rsidR="00252431" w:rsidRPr="00252431" w:rsidRDefault="00252431">
        <w:pPr>
          <w:pStyle w:val="Footer"/>
          <w:jc w:val="center"/>
          <w:rPr>
            <w:rFonts w:ascii="Times New Roman" w:hAnsi="Times New Roman" w:cs="Times New Roman"/>
            <w:sz w:val="24"/>
            <w:szCs w:val="24"/>
          </w:rPr>
        </w:pPr>
        <w:r w:rsidRPr="00252431">
          <w:rPr>
            <w:rFonts w:ascii="Times New Roman" w:hAnsi="Times New Roman" w:cs="Times New Roman"/>
            <w:sz w:val="24"/>
            <w:szCs w:val="24"/>
          </w:rPr>
          <w:fldChar w:fldCharType="begin"/>
        </w:r>
        <w:r w:rsidRPr="00252431">
          <w:rPr>
            <w:rFonts w:ascii="Times New Roman" w:hAnsi="Times New Roman" w:cs="Times New Roman"/>
            <w:sz w:val="24"/>
            <w:szCs w:val="24"/>
          </w:rPr>
          <w:instrText xml:space="preserve"> PAGE   \* MERGEFORMAT </w:instrText>
        </w:r>
        <w:r w:rsidRPr="00252431">
          <w:rPr>
            <w:rFonts w:ascii="Times New Roman" w:hAnsi="Times New Roman" w:cs="Times New Roman"/>
            <w:sz w:val="24"/>
            <w:szCs w:val="24"/>
          </w:rPr>
          <w:fldChar w:fldCharType="separate"/>
        </w:r>
        <w:r w:rsidR="008A762D">
          <w:rPr>
            <w:rFonts w:ascii="Times New Roman" w:hAnsi="Times New Roman" w:cs="Times New Roman"/>
            <w:noProof/>
            <w:sz w:val="24"/>
            <w:szCs w:val="24"/>
          </w:rPr>
          <w:t>10</w:t>
        </w:r>
        <w:r w:rsidRPr="00252431">
          <w:rPr>
            <w:rFonts w:ascii="Times New Roman" w:hAnsi="Times New Roman" w:cs="Times New Roman"/>
            <w:noProof/>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0585" w:rsidRDefault="00F10585" w:rsidP="00E40567">
      <w:pPr>
        <w:spacing w:after="0" w:line="240" w:lineRule="auto"/>
      </w:pPr>
      <w:r>
        <w:separator/>
      </w:r>
    </w:p>
  </w:footnote>
  <w:footnote w:type="continuationSeparator" w:id="0">
    <w:p w:rsidR="00F10585" w:rsidRDefault="00F10585" w:rsidP="00E405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B2F" w:rsidRDefault="00EB4B2F" w:rsidP="00EB4B2F">
    <w:pPr>
      <w:pStyle w:val="Header"/>
      <w:jc w:val="center"/>
    </w:pPr>
    <w:r>
      <w:rPr>
        <w:i/>
        <w:iCs/>
        <w:noProof/>
      </w:rPr>
      <w:drawing>
        <wp:inline distT="0" distB="0" distL="0" distR="0" wp14:anchorId="399A7D1C" wp14:editId="76BE7BD4">
          <wp:extent cx="3019425" cy="828675"/>
          <wp:effectExtent l="0" t="0" r="0" b="0"/>
          <wp:docPr id="8" name="Picture 8" descr="BG Финансирано от Европейския съюз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G Финансирано от Европейския съюз_P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19425" cy="828675"/>
                  </a:xfrm>
                  <a:prstGeom prst="rect">
                    <a:avLst/>
                  </a:prstGeom>
                  <a:noFill/>
                  <a:ln>
                    <a:noFill/>
                  </a:ln>
                </pic:spPr>
              </pic:pic>
            </a:graphicData>
          </a:graphic>
        </wp:inline>
      </w:drawing>
    </w:r>
  </w:p>
  <w:p w:rsidR="000F3B75" w:rsidRDefault="000F3B75" w:rsidP="00EB4B2F">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1237F"/>
    <w:multiLevelType w:val="hybridMultilevel"/>
    <w:tmpl w:val="79ECB0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B57A85"/>
    <w:multiLevelType w:val="hybridMultilevel"/>
    <w:tmpl w:val="1C80C4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33A5EBD"/>
    <w:multiLevelType w:val="hybridMultilevel"/>
    <w:tmpl w:val="27C4F034"/>
    <w:lvl w:ilvl="0" w:tplc="9D44BF12">
      <w:start w:val="1"/>
      <w:numFmt w:val="upperLetter"/>
      <w:lvlText w:val="%1."/>
      <w:lvlJc w:val="left"/>
      <w:pPr>
        <w:ind w:left="731" w:hanging="360"/>
      </w:pPr>
      <w:rPr>
        <w:b/>
        <w:sz w:val="24"/>
        <w:szCs w:val="24"/>
        <w:u w:val="none"/>
      </w:rPr>
    </w:lvl>
    <w:lvl w:ilvl="1" w:tplc="04090019" w:tentative="1">
      <w:start w:val="1"/>
      <w:numFmt w:val="lowerLetter"/>
      <w:lvlText w:val="%2."/>
      <w:lvlJc w:val="left"/>
      <w:pPr>
        <w:ind w:left="1451" w:hanging="360"/>
      </w:pPr>
    </w:lvl>
    <w:lvl w:ilvl="2" w:tplc="0409001B" w:tentative="1">
      <w:start w:val="1"/>
      <w:numFmt w:val="lowerRoman"/>
      <w:lvlText w:val="%3."/>
      <w:lvlJc w:val="right"/>
      <w:pPr>
        <w:ind w:left="2171" w:hanging="180"/>
      </w:pPr>
    </w:lvl>
    <w:lvl w:ilvl="3" w:tplc="0409000F" w:tentative="1">
      <w:start w:val="1"/>
      <w:numFmt w:val="decimal"/>
      <w:lvlText w:val="%4."/>
      <w:lvlJc w:val="left"/>
      <w:pPr>
        <w:ind w:left="2891" w:hanging="360"/>
      </w:pPr>
    </w:lvl>
    <w:lvl w:ilvl="4" w:tplc="04090019" w:tentative="1">
      <w:start w:val="1"/>
      <w:numFmt w:val="lowerLetter"/>
      <w:lvlText w:val="%5."/>
      <w:lvlJc w:val="left"/>
      <w:pPr>
        <w:ind w:left="3611" w:hanging="360"/>
      </w:pPr>
    </w:lvl>
    <w:lvl w:ilvl="5" w:tplc="0409001B" w:tentative="1">
      <w:start w:val="1"/>
      <w:numFmt w:val="lowerRoman"/>
      <w:lvlText w:val="%6."/>
      <w:lvlJc w:val="right"/>
      <w:pPr>
        <w:ind w:left="4331" w:hanging="180"/>
      </w:pPr>
    </w:lvl>
    <w:lvl w:ilvl="6" w:tplc="0409000F" w:tentative="1">
      <w:start w:val="1"/>
      <w:numFmt w:val="decimal"/>
      <w:lvlText w:val="%7."/>
      <w:lvlJc w:val="left"/>
      <w:pPr>
        <w:ind w:left="5051" w:hanging="360"/>
      </w:pPr>
    </w:lvl>
    <w:lvl w:ilvl="7" w:tplc="04090019" w:tentative="1">
      <w:start w:val="1"/>
      <w:numFmt w:val="lowerLetter"/>
      <w:lvlText w:val="%8."/>
      <w:lvlJc w:val="left"/>
      <w:pPr>
        <w:ind w:left="5771" w:hanging="360"/>
      </w:pPr>
    </w:lvl>
    <w:lvl w:ilvl="8" w:tplc="0409001B" w:tentative="1">
      <w:start w:val="1"/>
      <w:numFmt w:val="lowerRoman"/>
      <w:lvlText w:val="%9."/>
      <w:lvlJc w:val="right"/>
      <w:pPr>
        <w:ind w:left="6491" w:hanging="180"/>
      </w:pPr>
    </w:lvl>
  </w:abstractNum>
  <w:abstractNum w:abstractNumId="3" w15:restartNumberingAfterBreak="0">
    <w:nsid w:val="1D3F24D4"/>
    <w:multiLevelType w:val="hybridMultilevel"/>
    <w:tmpl w:val="67D6DC42"/>
    <w:lvl w:ilvl="0" w:tplc="52F608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4AB3BD9"/>
    <w:multiLevelType w:val="hybridMultilevel"/>
    <w:tmpl w:val="31D66C4C"/>
    <w:lvl w:ilvl="0" w:tplc="52F608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4C5F2A05"/>
    <w:multiLevelType w:val="hybridMultilevel"/>
    <w:tmpl w:val="DA380ED0"/>
    <w:lvl w:ilvl="0" w:tplc="AEE415DC">
      <w:numFmt w:val="bullet"/>
      <w:lvlText w:val="-"/>
      <w:lvlJc w:val="left"/>
      <w:pPr>
        <w:ind w:left="1068" w:hanging="360"/>
      </w:pPr>
      <w:rPr>
        <w:rFonts w:ascii="Verdana" w:eastAsiaTheme="minorHAnsi" w:hAnsi="Verdana" w:cstheme="minorBidi" w:hint="default"/>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6" w15:restartNumberingAfterBreak="0">
    <w:nsid w:val="6E9D4BD0"/>
    <w:multiLevelType w:val="hybridMultilevel"/>
    <w:tmpl w:val="5C26B6B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7" w15:restartNumberingAfterBreak="0">
    <w:nsid w:val="73A4363B"/>
    <w:multiLevelType w:val="hybridMultilevel"/>
    <w:tmpl w:val="33ACA708"/>
    <w:lvl w:ilvl="0" w:tplc="04090001">
      <w:start w:val="1"/>
      <w:numFmt w:val="bullet"/>
      <w:lvlText w:val=""/>
      <w:lvlJc w:val="left"/>
      <w:pPr>
        <w:ind w:left="720" w:hanging="360"/>
      </w:pPr>
      <w:rPr>
        <w:rFonts w:ascii="Symbol" w:hAnsi="Symbol" w:hint="default"/>
        <w:b/>
        <w:color w:val="000000" w:themeColor="text1"/>
        <w:sz w:val="28"/>
        <w:szCs w:val="28"/>
        <w:effect w:val="none"/>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7"/>
  </w:num>
  <w:num w:numId="4">
    <w:abstractNumId w:val="5"/>
  </w:num>
  <w:num w:numId="5">
    <w:abstractNumId w:val="2"/>
  </w:num>
  <w:num w:numId="6">
    <w:abstractNumId w:val="4"/>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3F4E"/>
    <w:rsid w:val="00084BEB"/>
    <w:rsid w:val="000B398D"/>
    <w:rsid w:val="000F3B75"/>
    <w:rsid w:val="00106700"/>
    <w:rsid w:val="001A3C88"/>
    <w:rsid w:val="001D4A33"/>
    <w:rsid w:val="00252431"/>
    <w:rsid w:val="002531BD"/>
    <w:rsid w:val="002B3F4E"/>
    <w:rsid w:val="002E0B91"/>
    <w:rsid w:val="002E2520"/>
    <w:rsid w:val="002F74D1"/>
    <w:rsid w:val="00310599"/>
    <w:rsid w:val="00355288"/>
    <w:rsid w:val="00380976"/>
    <w:rsid w:val="004A7E61"/>
    <w:rsid w:val="004E2549"/>
    <w:rsid w:val="007C2AF4"/>
    <w:rsid w:val="007D352B"/>
    <w:rsid w:val="00827511"/>
    <w:rsid w:val="008A762D"/>
    <w:rsid w:val="00940BB7"/>
    <w:rsid w:val="00B148C1"/>
    <w:rsid w:val="00D236BB"/>
    <w:rsid w:val="00D2534A"/>
    <w:rsid w:val="00D57385"/>
    <w:rsid w:val="00DB4096"/>
    <w:rsid w:val="00DB4FAC"/>
    <w:rsid w:val="00E40567"/>
    <w:rsid w:val="00E81884"/>
    <w:rsid w:val="00EB4B2F"/>
    <w:rsid w:val="00EE5729"/>
    <w:rsid w:val="00F10585"/>
    <w:rsid w:val="00FE1555"/>
    <w:rsid w:val="00FE54D5"/>
    <w:rsid w:val="00FF48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C5B595"/>
  <w15:chartTrackingRefBased/>
  <w15:docId w15:val="{834F6905-43F2-400A-BE02-FDD3F528B0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F3B7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6700"/>
    <w:pPr>
      <w:ind w:left="720"/>
      <w:contextualSpacing/>
    </w:pPr>
  </w:style>
  <w:style w:type="table" w:customStyle="1" w:styleId="1">
    <w:name w:val="Мрежа в таблица1"/>
    <w:basedOn w:val="TableNormal"/>
    <w:next w:val="TableGrid"/>
    <w:uiPriority w:val="39"/>
    <w:rsid w:val="00D236BB"/>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D236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40567"/>
    <w:pPr>
      <w:spacing w:after="0" w:line="240" w:lineRule="auto"/>
    </w:pPr>
    <w:rPr>
      <w:sz w:val="20"/>
      <w:szCs w:val="20"/>
      <w:lang w:val="bg-BG"/>
    </w:rPr>
  </w:style>
  <w:style w:type="character" w:customStyle="1" w:styleId="FootnoteTextChar">
    <w:name w:val="Footnote Text Char"/>
    <w:basedOn w:val="DefaultParagraphFont"/>
    <w:link w:val="FootnoteText"/>
    <w:uiPriority w:val="99"/>
    <w:semiHidden/>
    <w:rsid w:val="00E40567"/>
    <w:rPr>
      <w:sz w:val="20"/>
      <w:szCs w:val="20"/>
      <w:lang w:val="bg-BG"/>
    </w:rPr>
  </w:style>
  <w:style w:type="character" w:styleId="FootnoteReference">
    <w:name w:val="footnote reference"/>
    <w:basedOn w:val="DefaultParagraphFont"/>
    <w:uiPriority w:val="99"/>
    <w:semiHidden/>
    <w:unhideWhenUsed/>
    <w:rsid w:val="00E40567"/>
    <w:rPr>
      <w:vertAlign w:val="superscript"/>
    </w:rPr>
  </w:style>
  <w:style w:type="paragraph" w:styleId="BalloonText">
    <w:name w:val="Balloon Text"/>
    <w:basedOn w:val="Normal"/>
    <w:link w:val="BalloonTextChar"/>
    <w:uiPriority w:val="99"/>
    <w:semiHidden/>
    <w:unhideWhenUsed/>
    <w:rsid w:val="00FF488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4885"/>
    <w:rPr>
      <w:rFonts w:ascii="Segoe UI" w:hAnsi="Segoe UI" w:cs="Segoe UI"/>
      <w:sz w:val="18"/>
      <w:szCs w:val="18"/>
    </w:rPr>
  </w:style>
  <w:style w:type="paragraph" w:styleId="Header">
    <w:name w:val="header"/>
    <w:basedOn w:val="Normal"/>
    <w:link w:val="HeaderChar"/>
    <w:uiPriority w:val="99"/>
    <w:unhideWhenUsed/>
    <w:rsid w:val="00EB4B2F"/>
    <w:pPr>
      <w:tabs>
        <w:tab w:val="center" w:pos="4703"/>
        <w:tab w:val="right" w:pos="9406"/>
      </w:tabs>
      <w:spacing w:after="0" w:line="240" w:lineRule="auto"/>
    </w:pPr>
  </w:style>
  <w:style w:type="character" w:customStyle="1" w:styleId="HeaderChar">
    <w:name w:val="Header Char"/>
    <w:basedOn w:val="DefaultParagraphFont"/>
    <w:link w:val="Header"/>
    <w:uiPriority w:val="99"/>
    <w:rsid w:val="00EB4B2F"/>
  </w:style>
  <w:style w:type="paragraph" w:styleId="Footer">
    <w:name w:val="footer"/>
    <w:basedOn w:val="Normal"/>
    <w:link w:val="FooterChar"/>
    <w:uiPriority w:val="99"/>
    <w:unhideWhenUsed/>
    <w:rsid w:val="00EB4B2F"/>
    <w:pPr>
      <w:tabs>
        <w:tab w:val="center" w:pos="4703"/>
        <w:tab w:val="right" w:pos="9406"/>
      </w:tabs>
      <w:spacing w:after="0" w:line="240" w:lineRule="auto"/>
    </w:pPr>
  </w:style>
  <w:style w:type="character" w:customStyle="1" w:styleId="FooterChar">
    <w:name w:val="Footer Char"/>
    <w:basedOn w:val="DefaultParagraphFont"/>
    <w:link w:val="Footer"/>
    <w:uiPriority w:val="99"/>
    <w:rsid w:val="00EB4B2F"/>
  </w:style>
  <w:style w:type="paragraph" w:styleId="BodyText">
    <w:name w:val="Body Text"/>
    <w:basedOn w:val="Normal"/>
    <w:link w:val="BodyTextChar"/>
    <w:unhideWhenUsed/>
    <w:rsid w:val="00EB4B2F"/>
    <w:pPr>
      <w:spacing w:after="120" w:line="240" w:lineRule="auto"/>
    </w:pPr>
    <w:rPr>
      <w:rFonts w:ascii="Arial" w:eastAsia="Times New Roman" w:hAnsi="Arial" w:cs="Times New Roman"/>
      <w:sz w:val="20"/>
      <w:szCs w:val="20"/>
      <w:lang w:val="en-GB"/>
    </w:rPr>
  </w:style>
  <w:style w:type="character" w:customStyle="1" w:styleId="BodyTextChar">
    <w:name w:val="Body Text Char"/>
    <w:basedOn w:val="DefaultParagraphFont"/>
    <w:link w:val="BodyText"/>
    <w:rsid w:val="00EB4B2F"/>
    <w:rPr>
      <w:rFonts w:ascii="Arial" w:eastAsia="Times New Roman" w:hAnsi="Arial" w:cs="Times New Roman"/>
      <w:sz w:val="20"/>
      <w:szCs w:val="20"/>
      <w:lang w:val="en-GB"/>
    </w:rPr>
  </w:style>
  <w:style w:type="character" w:customStyle="1" w:styleId="Heading1Char">
    <w:name w:val="Heading 1 Char"/>
    <w:basedOn w:val="DefaultParagraphFont"/>
    <w:link w:val="Heading1"/>
    <w:uiPriority w:val="9"/>
    <w:rsid w:val="000F3B7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Data" Target="diagrams/data1.xml"/><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6.png"/><Relationship Id="rId17" Type="http://schemas.microsoft.com/office/2007/relationships/diagramDrawing" Target="diagrams/drawing1.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diagramColors" Target="diagrams/colors1.xml"/><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diagramLayout" Target="diagrams/layout1.xm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3787075-F795-43DD-ABE3-AF2197E5E362}" type="doc">
      <dgm:prSet loTypeId="urn:microsoft.com/office/officeart/2005/8/layout/chevron1" loCatId="process" qsTypeId="urn:microsoft.com/office/officeart/2005/8/quickstyle/simple1" qsCatId="simple" csTypeId="urn:microsoft.com/office/officeart/2005/8/colors/colorful5" csCatId="colorful" phldr="1"/>
      <dgm:spPr/>
    </dgm:pt>
    <dgm:pt modelId="{C05754EC-583A-43E5-8F66-D1B42884D1A9}">
      <dgm:prSet phldrT="[Текст]"/>
      <dgm:spPr>
        <a:xfrm>
          <a:off x="2564" y="418965"/>
          <a:ext cx="1492923" cy="597169"/>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b="1">
              <a:solidFill>
                <a:sysClr val="windowText" lastClr="000000"/>
              </a:solidFill>
              <a:latin typeface="Arial Narrow" pitchFamily="34" charset="0"/>
              <a:ea typeface="+mn-ea"/>
              <a:cs typeface="+mn-cs"/>
            </a:rPr>
            <a:t>Изчисляване на икономията на енергия от изпълнение на конкретни мерки</a:t>
          </a:r>
        </a:p>
      </dgm:t>
    </dgm:pt>
    <dgm:pt modelId="{8435A5C6-28CD-456C-B759-21F17F381434}" type="parTrans" cxnId="{16656830-6380-4BAF-9FF4-611CDBC1C2F2}">
      <dgm:prSet/>
      <dgm:spPr/>
      <dgm:t>
        <a:bodyPr/>
        <a:lstStyle/>
        <a:p>
          <a:endParaRPr lang="bg-BG" b="1">
            <a:solidFill>
              <a:schemeClr val="tx1"/>
            </a:solidFill>
            <a:latin typeface="Arial Narrow" pitchFamily="34" charset="0"/>
          </a:endParaRPr>
        </a:p>
      </dgm:t>
    </dgm:pt>
    <dgm:pt modelId="{8F59E4CC-5380-4AA3-B3EB-CE5BFFE2E6DB}" type="sibTrans" cxnId="{16656830-6380-4BAF-9FF4-611CDBC1C2F2}">
      <dgm:prSet/>
      <dgm:spPr/>
      <dgm:t>
        <a:bodyPr/>
        <a:lstStyle/>
        <a:p>
          <a:endParaRPr lang="bg-BG" b="1">
            <a:solidFill>
              <a:schemeClr val="tx1"/>
            </a:solidFill>
            <a:latin typeface="Arial Narrow" pitchFamily="34" charset="0"/>
          </a:endParaRPr>
        </a:p>
      </dgm:t>
    </dgm:pt>
    <dgm:pt modelId="{D7CE0F5D-F4CE-4278-B232-88DAC93478D8}">
      <dgm:prSet phldrT="[Текст]"/>
      <dgm:spPr>
        <a:xfrm>
          <a:off x="1346195" y="418965"/>
          <a:ext cx="1492923" cy="597169"/>
        </a:xfr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b="1">
              <a:solidFill>
                <a:sysClr val="windowText" lastClr="000000"/>
              </a:solidFill>
              <a:latin typeface="Arial Narrow" pitchFamily="34" charset="0"/>
              <a:ea typeface="+mn-ea"/>
              <a:cs typeface="+mn-cs"/>
            </a:rPr>
            <a:t>Потвърждаване на конкретно техническо решение по отношение на енергийните му характеристики, които генерират спестявания</a:t>
          </a:r>
        </a:p>
      </dgm:t>
    </dgm:pt>
    <dgm:pt modelId="{60C2C1AB-2CA0-46DD-94A3-885DFCCC3ADB}" type="parTrans" cxnId="{3E45B858-AB4C-48F9-8AA9-2E11215CD48E}">
      <dgm:prSet/>
      <dgm:spPr/>
      <dgm:t>
        <a:bodyPr/>
        <a:lstStyle/>
        <a:p>
          <a:endParaRPr lang="bg-BG" b="1">
            <a:solidFill>
              <a:schemeClr val="tx1"/>
            </a:solidFill>
            <a:latin typeface="Arial Narrow" pitchFamily="34" charset="0"/>
          </a:endParaRPr>
        </a:p>
      </dgm:t>
    </dgm:pt>
    <dgm:pt modelId="{23916B8E-D757-4E57-9A0D-676A38E2B477}" type="sibTrans" cxnId="{3E45B858-AB4C-48F9-8AA9-2E11215CD48E}">
      <dgm:prSet/>
      <dgm:spPr/>
      <dgm:t>
        <a:bodyPr/>
        <a:lstStyle/>
        <a:p>
          <a:endParaRPr lang="bg-BG" b="1">
            <a:solidFill>
              <a:schemeClr val="tx1"/>
            </a:solidFill>
            <a:latin typeface="Arial Narrow" pitchFamily="34" charset="0"/>
          </a:endParaRPr>
        </a:p>
      </dgm:t>
    </dgm:pt>
    <dgm:pt modelId="{2CB02029-D910-4E22-A6C7-3C1D1AA8ED23}">
      <dgm:prSet phldrT="[Текст]"/>
      <dgm:spPr>
        <a:xfrm>
          <a:off x="2689826" y="418965"/>
          <a:ext cx="1492923" cy="597169"/>
        </a:xfr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b="1">
              <a:solidFill>
                <a:sysClr val="windowText" lastClr="000000"/>
              </a:solidFill>
              <a:latin typeface="Arial Narrow" pitchFamily="34" charset="0"/>
              <a:ea typeface="+mn-ea"/>
              <a:cs typeface="+mn-cs"/>
            </a:rPr>
            <a:t>Определяне на размера на амортизациите през периода на изплащане на инвестицията</a:t>
          </a:r>
        </a:p>
      </dgm:t>
    </dgm:pt>
    <dgm:pt modelId="{450BA47C-F8F2-4EF2-BDC4-8D15AD83240B}" type="parTrans" cxnId="{59DDEC09-213E-4EAD-9361-31A742DF6CEF}">
      <dgm:prSet/>
      <dgm:spPr/>
      <dgm:t>
        <a:bodyPr/>
        <a:lstStyle/>
        <a:p>
          <a:endParaRPr lang="bg-BG" b="1">
            <a:solidFill>
              <a:schemeClr val="tx1"/>
            </a:solidFill>
            <a:latin typeface="Arial Narrow" pitchFamily="34" charset="0"/>
          </a:endParaRPr>
        </a:p>
      </dgm:t>
    </dgm:pt>
    <dgm:pt modelId="{E2C236E9-BDE8-4EA3-8787-4A387BBCA089}" type="sibTrans" cxnId="{59DDEC09-213E-4EAD-9361-31A742DF6CEF}">
      <dgm:prSet/>
      <dgm:spPr/>
      <dgm:t>
        <a:bodyPr/>
        <a:lstStyle/>
        <a:p>
          <a:endParaRPr lang="bg-BG" b="1">
            <a:solidFill>
              <a:schemeClr val="tx1"/>
            </a:solidFill>
            <a:latin typeface="Arial Narrow" pitchFamily="34" charset="0"/>
          </a:endParaRPr>
        </a:p>
      </dgm:t>
    </dgm:pt>
    <dgm:pt modelId="{F96D18D4-062E-42B3-A912-8155FBF4A21A}">
      <dgm:prSet/>
      <dgm:spPr>
        <a:xfrm>
          <a:off x="4033457" y="418965"/>
          <a:ext cx="1492923" cy="597169"/>
        </a:xfr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bg-BG" b="1">
              <a:solidFill>
                <a:sysClr val="windowText" lastClr="000000"/>
              </a:solidFill>
              <a:latin typeface="Arial Narrow" pitchFamily="34" charset="0"/>
              <a:ea typeface="+mn-ea"/>
              <a:cs typeface="+mn-cs"/>
            </a:rPr>
            <a:t>Технико-икономически анализ за определяне на споделените енергийни спестявания</a:t>
          </a:r>
        </a:p>
      </dgm:t>
    </dgm:pt>
    <dgm:pt modelId="{1C107A7F-89A7-479F-9033-1FDF5FC2C087}" type="parTrans" cxnId="{53E18B15-5CBA-459A-996D-1A3AEB9F4B5B}">
      <dgm:prSet/>
      <dgm:spPr/>
      <dgm:t>
        <a:bodyPr/>
        <a:lstStyle/>
        <a:p>
          <a:endParaRPr lang="bg-BG" b="1">
            <a:solidFill>
              <a:schemeClr val="tx1"/>
            </a:solidFill>
            <a:latin typeface="Arial Narrow" pitchFamily="34" charset="0"/>
          </a:endParaRPr>
        </a:p>
      </dgm:t>
    </dgm:pt>
    <dgm:pt modelId="{0797AC67-0CA1-4144-9D6A-4AED721945F0}" type="sibTrans" cxnId="{53E18B15-5CBA-459A-996D-1A3AEB9F4B5B}">
      <dgm:prSet/>
      <dgm:spPr/>
      <dgm:t>
        <a:bodyPr/>
        <a:lstStyle/>
        <a:p>
          <a:endParaRPr lang="bg-BG" b="1">
            <a:solidFill>
              <a:schemeClr val="tx1"/>
            </a:solidFill>
            <a:latin typeface="Arial Narrow" pitchFamily="34" charset="0"/>
          </a:endParaRPr>
        </a:p>
      </dgm:t>
    </dgm:pt>
    <dgm:pt modelId="{D7C02D8B-72CC-4C9C-8328-3301BC23173B}" type="pres">
      <dgm:prSet presAssocID="{B3787075-F795-43DD-ABE3-AF2197E5E362}" presName="Name0" presStyleCnt="0">
        <dgm:presLayoutVars>
          <dgm:dir/>
          <dgm:animLvl val="lvl"/>
          <dgm:resizeHandles val="exact"/>
        </dgm:presLayoutVars>
      </dgm:prSet>
      <dgm:spPr/>
    </dgm:pt>
    <dgm:pt modelId="{4E68E59E-34F4-4710-8068-F2CC8CFD1DB9}" type="pres">
      <dgm:prSet presAssocID="{C05754EC-583A-43E5-8F66-D1B42884D1A9}" presName="parTxOnly" presStyleLbl="node1" presStyleIdx="0" presStyleCnt="4">
        <dgm:presLayoutVars>
          <dgm:chMax val="0"/>
          <dgm:chPref val="0"/>
          <dgm:bulletEnabled val="1"/>
        </dgm:presLayoutVars>
      </dgm:prSet>
      <dgm:spPr>
        <a:prstGeom prst="chevron">
          <a:avLst/>
        </a:prstGeom>
      </dgm:spPr>
      <dgm:t>
        <a:bodyPr/>
        <a:lstStyle/>
        <a:p>
          <a:endParaRPr lang="bg-BG"/>
        </a:p>
      </dgm:t>
    </dgm:pt>
    <dgm:pt modelId="{804234B2-F390-4F9B-8C0A-6ADAFF315CF5}" type="pres">
      <dgm:prSet presAssocID="{8F59E4CC-5380-4AA3-B3EB-CE5BFFE2E6DB}" presName="parTxOnlySpace" presStyleCnt="0"/>
      <dgm:spPr/>
    </dgm:pt>
    <dgm:pt modelId="{E649A1C2-5F31-4ED5-A1B6-CBF951FD881C}" type="pres">
      <dgm:prSet presAssocID="{D7CE0F5D-F4CE-4278-B232-88DAC93478D8}" presName="parTxOnly" presStyleLbl="node1" presStyleIdx="1" presStyleCnt="4">
        <dgm:presLayoutVars>
          <dgm:chMax val="0"/>
          <dgm:chPref val="0"/>
          <dgm:bulletEnabled val="1"/>
        </dgm:presLayoutVars>
      </dgm:prSet>
      <dgm:spPr>
        <a:prstGeom prst="chevron">
          <a:avLst/>
        </a:prstGeom>
      </dgm:spPr>
      <dgm:t>
        <a:bodyPr/>
        <a:lstStyle/>
        <a:p>
          <a:endParaRPr lang="bg-BG"/>
        </a:p>
      </dgm:t>
    </dgm:pt>
    <dgm:pt modelId="{C6933711-AAB5-4BE3-82B9-452FEB2B4A51}" type="pres">
      <dgm:prSet presAssocID="{23916B8E-D757-4E57-9A0D-676A38E2B477}" presName="parTxOnlySpace" presStyleCnt="0"/>
      <dgm:spPr/>
    </dgm:pt>
    <dgm:pt modelId="{83FC1B59-F5E9-41FE-9A7D-19B030D92C44}" type="pres">
      <dgm:prSet presAssocID="{2CB02029-D910-4E22-A6C7-3C1D1AA8ED23}" presName="parTxOnly" presStyleLbl="node1" presStyleIdx="2" presStyleCnt="4">
        <dgm:presLayoutVars>
          <dgm:chMax val="0"/>
          <dgm:chPref val="0"/>
          <dgm:bulletEnabled val="1"/>
        </dgm:presLayoutVars>
      </dgm:prSet>
      <dgm:spPr>
        <a:prstGeom prst="chevron">
          <a:avLst/>
        </a:prstGeom>
      </dgm:spPr>
      <dgm:t>
        <a:bodyPr/>
        <a:lstStyle/>
        <a:p>
          <a:endParaRPr lang="bg-BG"/>
        </a:p>
      </dgm:t>
    </dgm:pt>
    <dgm:pt modelId="{F5AF5E05-08E3-4C4B-A7AF-C1C802C7138B}" type="pres">
      <dgm:prSet presAssocID="{E2C236E9-BDE8-4EA3-8787-4A387BBCA089}" presName="parTxOnlySpace" presStyleCnt="0"/>
      <dgm:spPr/>
    </dgm:pt>
    <dgm:pt modelId="{5A71A33E-2050-4538-94D9-67C2E75ABEF8}" type="pres">
      <dgm:prSet presAssocID="{F96D18D4-062E-42B3-A912-8155FBF4A21A}" presName="parTxOnly" presStyleLbl="node1" presStyleIdx="3" presStyleCnt="4">
        <dgm:presLayoutVars>
          <dgm:chMax val="0"/>
          <dgm:chPref val="0"/>
          <dgm:bulletEnabled val="1"/>
        </dgm:presLayoutVars>
      </dgm:prSet>
      <dgm:spPr>
        <a:prstGeom prst="chevron">
          <a:avLst/>
        </a:prstGeom>
      </dgm:spPr>
      <dgm:t>
        <a:bodyPr/>
        <a:lstStyle/>
        <a:p>
          <a:endParaRPr lang="bg-BG"/>
        </a:p>
      </dgm:t>
    </dgm:pt>
  </dgm:ptLst>
  <dgm:cxnLst>
    <dgm:cxn modelId="{AC0EA0B3-F056-49C4-92F3-2D1CC453EE2C}" type="presOf" srcId="{2CB02029-D910-4E22-A6C7-3C1D1AA8ED23}" destId="{83FC1B59-F5E9-41FE-9A7D-19B030D92C44}" srcOrd="0" destOrd="0" presId="urn:microsoft.com/office/officeart/2005/8/layout/chevron1"/>
    <dgm:cxn modelId="{B643E1A8-7D63-4B64-914E-E5DC821C898C}" type="presOf" srcId="{B3787075-F795-43DD-ABE3-AF2197E5E362}" destId="{D7C02D8B-72CC-4C9C-8328-3301BC23173B}" srcOrd="0" destOrd="0" presId="urn:microsoft.com/office/officeart/2005/8/layout/chevron1"/>
    <dgm:cxn modelId="{4E56DF56-F381-4439-8664-F79380355213}" type="presOf" srcId="{F96D18D4-062E-42B3-A912-8155FBF4A21A}" destId="{5A71A33E-2050-4538-94D9-67C2E75ABEF8}" srcOrd="0" destOrd="0" presId="urn:microsoft.com/office/officeart/2005/8/layout/chevron1"/>
    <dgm:cxn modelId="{59DDEC09-213E-4EAD-9361-31A742DF6CEF}" srcId="{B3787075-F795-43DD-ABE3-AF2197E5E362}" destId="{2CB02029-D910-4E22-A6C7-3C1D1AA8ED23}" srcOrd="2" destOrd="0" parTransId="{450BA47C-F8F2-4EF2-BDC4-8D15AD83240B}" sibTransId="{E2C236E9-BDE8-4EA3-8787-4A387BBCA089}"/>
    <dgm:cxn modelId="{3E45B858-AB4C-48F9-8AA9-2E11215CD48E}" srcId="{B3787075-F795-43DD-ABE3-AF2197E5E362}" destId="{D7CE0F5D-F4CE-4278-B232-88DAC93478D8}" srcOrd="1" destOrd="0" parTransId="{60C2C1AB-2CA0-46DD-94A3-885DFCCC3ADB}" sibTransId="{23916B8E-D757-4E57-9A0D-676A38E2B477}"/>
    <dgm:cxn modelId="{0A4C548F-170D-4342-B523-0BF79DB97BD9}" type="presOf" srcId="{D7CE0F5D-F4CE-4278-B232-88DAC93478D8}" destId="{E649A1C2-5F31-4ED5-A1B6-CBF951FD881C}" srcOrd="0" destOrd="0" presId="urn:microsoft.com/office/officeart/2005/8/layout/chevron1"/>
    <dgm:cxn modelId="{7339E880-2CCA-4FAD-A276-9263D561EED1}" type="presOf" srcId="{C05754EC-583A-43E5-8F66-D1B42884D1A9}" destId="{4E68E59E-34F4-4710-8068-F2CC8CFD1DB9}" srcOrd="0" destOrd="0" presId="urn:microsoft.com/office/officeart/2005/8/layout/chevron1"/>
    <dgm:cxn modelId="{16656830-6380-4BAF-9FF4-611CDBC1C2F2}" srcId="{B3787075-F795-43DD-ABE3-AF2197E5E362}" destId="{C05754EC-583A-43E5-8F66-D1B42884D1A9}" srcOrd="0" destOrd="0" parTransId="{8435A5C6-28CD-456C-B759-21F17F381434}" sibTransId="{8F59E4CC-5380-4AA3-B3EB-CE5BFFE2E6DB}"/>
    <dgm:cxn modelId="{53E18B15-5CBA-459A-996D-1A3AEB9F4B5B}" srcId="{B3787075-F795-43DD-ABE3-AF2197E5E362}" destId="{F96D18D4-062E-42B3-A912-8155FBF4A21A}" srcOrd="3" destOrd="0" parTransId="{1C107A7F-89A7-479F-9033-1FDF5FC2C087}" sibTransId="{0797AC67-0CA1-4144-9D6A-4AED721945F0}"/>
    <dgm:cxn modelId="{DC00AA10-5DB3-4F20-9CDB-053BD180F031}" type="presParOf" srcId="{D7C02D8B-72CC-4C9C-8328-3301BC23173B}" destId="{4E68E59E-34F4-4710-8068-F2CC8CFD1DB9}" srcOrd="0" destOrd="0" presId="urn:microsoft.com/office/officeart/2005/8/layout/chevron1"/>
    <dgm:cxn modelId="{6AD85608-7242-4DE0-A48F-FCE40C1093EA}" type="presParOf" srcId="{D7C02D8B-72CC-4C9C-8328-3301BC23173B}" destId="{804234B2-F390-4F9B-8C0A-6ADAFF315CF5}" srcOrd="1" destOrd="0" presId="urn:microsoft.com/office/officeart/2005/8/layout/chevron1"/>
    <dgm:cxn modelId="{67758FDE-9124-4AB2-9E63-1D608169FA29}" type="presParOf" srcId="{D7C02D8B-72CC-4C9C-8328-3301BC23173B}" destId="{E649A1C2-5F31-4ED5-A1B6-CBF951FD881C}" srcOrd="2" destOrd="0" presId="urn:microsoft.com/office/officeart/2005/8/layout/chevron1"/>
    <dgm:cxn modelId="{F8F4FF6F-DA52-4331-9BE0-78A92F94E221}" type="presParOf" srcId="{D7C02D8B-72CC-4C9C-8328-3301BC23173B}" destId="{C6933711-AAB5-4BE3-82B9-452FEB2B4A51}" srcOrd="3" destOrd="0" presId="urn:microsoft.com/office/officeart/2005/8/layout/chevron1"/>
    <dgm:cxn modelId="{17D6FC3A-9B9C-49E2-B230-B7BC3597117A}" type="presParOf" srcId="{D7C02D8B-72CC-4C9C-8328-3301BC23173B}" destId="{83FC1B59-F5E9-41FE-9A7D-19B030D92C44}" srcOrd="4" destOrd="0" presId="urn:microsoft.com/office/officeart/2005/8/layout/chevron1"/>
    <dgm:cxn modelId="{DCE222A7-3B5B-42DE-BF3E-2E778470518A}" type="presParOf" srcId="{D7C02D8B-72CC-4C9C-8328-3301BC23173B}" destId="{F5AF5E05-08E3-4C4B-A7AF-C1C802C7138B}" srcOrd="5" destOrd="0" presId="urn:microsoft.com/office/officeart/2005/8/layout/chevron1"/>
    <dgm:cxn modelId="{3963E68C-3BDA-4F3D-AF4D-EDBC3F066DD4}" type="presParOf" srcId="{D7C02D8B-72CC-4C9C-8328-3301BC23173B}" destId="{5A71A33E-2050-4538-94D9-67C2E75ABEF8}" srcOrd="6" destOrd="0" presId="urn:microsoft.com/office/officeart/2005/8/layout/chevron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68E59E-34F4-4710-8068-F2CC8CFD1DB9}">
      <dsp:nvSpPr>
        <dsp:cNvPr id="0" name=""/>
        <dsp:cNvSpPr/>
      </dsp:nvSpPr>
      <dsp:spPr>
        <a:xfrm>
          <a:off x="2810" y="101474"/>
          <a:ext cx="1635751" cy="654300"/>
        </a:xfrm>
        <a:prstGeom prst="chevron">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004" tIns="9335" rIns="9335" bIns="9335" numCol="1" spcCol="1270" anchor="ctr" anchorCtr="0">
          <a:noAutofit/>
        </a:bodyPr>
        <a:lstStyle/>
        <a:p>
          <a:pPr lvl="0" algn="ctr" defTabSz="311150">
            <a:lnSpc>
              <a:spcPct val="90000"/>
            </a:lnSpc>
            <a:spcBef>
              <a:spcPct val="0"/>
            </a:spcBef>
            <a:spcAft>
              <a:spcPct val="35000"/>
            </a:spcAft>
          </a:pPr>
          <a:r>
            <a:rPr lang="bg-BG" sz="700" b="1" kern="1200">
              <a:solidFill>
                <a:sysClr val="windowText" lastClr="000000"/>
              </a:solidFill>
              <a:latin typeface="Arial Narrow" pitchFamily="34" charset="0"/>
              <a:ea typeface="+mn-ea"/>
              <a:cs typeface="+mn-cs"/>
            </a:rPr>
            <a:t>Изчисляване на икономията на енергия от изпълнение на конкретни мерки</a:t>
          </a:r>
        </a:p>
      </dsp:txBody>
      <dsp:txXfrm>
        <a:off x="329960" y="101474"/>
        <a:ext cx="981451" cy="654300"/>
      </dsp:txXfrm>
    </dsp:sp>
    <dsp:sp modelId="{E649A1C2-5F31-4ED5-A1B6-CBF951FD881C}">
      <dsp:nvSpPr>
        <dsp:cNvPr id="0" name=""/>
        <dsp:cNvSpPr/>
      </dsp:nvSpPr>
      <dsp:spPr>
        <a:xfrm>
          <a:off x="1474986" y="101474"/>
          <a:ext cx="1635751" cy="654300"/>
        </a:xfrm>
        <a:prstGeom prst="chevron">
          <a:avLst/>
        </a:prstGeom>
        <a:solidFill>
          <a:srgbClr val="5B9BD5">
            <a:hueOff val="-2252848"/>
            <a:satOff val="-5806"/>
            <a:lumOff val="-3922"/>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004" tIns="9335" rIns="9335" bIns="9335" numCol="1" spcCol="1270" anchor="ctr" anchorCtr="0">
          <a:noAutofit/>
        </a:bodyPr>
        <a:lstStyle/>
        <a:p>
          <a:pPr lvl="0" algn="ctr" defTabSz="311150">
            <a:lnSpc>
              <a:spcPct val="90000"/>
            </a:lnSpc>
            <a:spcBef>
              <a:spcPct val="0"/>
            </a:spcBef>
            <a:spcAft>
              <a:spcPct val="35000"/>
            </a:spcAft>
          </a:pPr>
          <a:r>
            <a:rPr lang="bg-BG" sz="700" b="1" kern="1200">
              <a:solidFill>
                <a:sysClr val="windowText" lastClr="000000"/>
              </a:solidFill>
              <a:latin typeface="Arial Narrow" pitchFamily="34" charset="0"/>
              <a:ea typeface="+mn-ea"/>
              <a:cs typeface="+mn-cs"/>
            </a:rPr>
            <a:t>Потвърждаване на конкретно техническо решение по отношение на енергийните му характеристики, които генерират спестявания</a:t>
          </a:r>
        </a:p>
      </dsp:txBody>
      <dsp:txXfrm>
        <a:off x="1802136" y="101474"/>
        <a:ext cx="981451" cy="654300"/>
      </dsp:txXfrm>
    </dsp:sp>
    <dsp:sp modelId="{83FC1B59-F5E9-41FE-9A7D-19B030D92C44}">
      <dsp:nvSpPr>
        <dsp:cNvPr id="0" name=""/>
        <dsp:cNvSpPr/>
      </dsp:nvSpPr>
      <dsp:spPr>
        <a:xfrm>
          <a:off x="2947162" y="101474"/>
          <a:ext cx="1635751" cy="654300"/>
        </a:xfrm>
        <a:prstGeom prst="chevron">
          <a:avLst/>
        </a:prstGeom>
        <a:solidFill>
          <a:srgbClr val="5B9BD5">
            <a:hueOff val="-4505695"/>
            <a:satOff val="-11613"/>
            <a:lumOff val="-7843"/>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004" tIns="9335" rIns="9335" bIns="9335" numCol="1" spcCol="1270" anchor="ctr" anchorCtr="0">
          <a:noAutofit/>
        </a:bodyPr>
        <a:lstStyle/>
        <a:p>
          <a:pPr lvl="0" algn="ctr" defTabSz="311150">
            <a:lnSpc>
              <a:spcPct val="90000"/>
            </a:lnSpc>
            <a:spcBef>
              <a:spcPct val="0"/>
            </a:spcBef>
            <a:spcAft>
              <a:spcPct val="35000"/>
            </a:spcAft>
          </a:pPr>
          <a:r>
            <a:rPr lang="bg-BG" sz="700" b="1" kern="1200">
              <a:solidFill>
                <a:sysClr val="windowText" lastClr="000000"/>
              </a:solidFill>
              <a:latin typeface="Arial Narrow" pitchFamily="34" charset="0"/>
              <a:ea typeface="+mn-ea"/>
              <a:cs typeface="+mn-cs"/>
            </a:rPr>
            <a:t>Определяне на размера на амортизациите през периода на изплащане на инвестицията</a:t>
          </a:r>
        </a:p>
      </dsp:txBody>
      <dsp:txXfrm>
        <a:off x="3274312" y="101474"/>
        <a:ext cx="981451" cy="654300"/>
      </dsp:txXfrm>
    </dsp:sp>
    <dsp:sp modelId="{5A71A33E-2050-4538-94D9-67C2E75ABEF8}">
      <dsp:nvSpPr>
        <dsp:cNvPr id="0" name=""/>
        <dsp:cNvSpPr/>
      </dsp:nvSpPr>
      <dsp:spPr>
        <a:xfrm>
          <a:off x="4419338" y="101474"/>
          <a:ext cx="1635751" cy="654300"/>
        </a:xfrm>
        <a:prstGeom prst="chevron">
          <a:avLst/>
        </a:prstGeom>
        <a:solidFill>
          <a:srgbClr val="5B9BD5">
            <a:hueOff val="-6758543"/>
            <a:satOff val="-17419"/>
            <a:lumOff val="-11765"/>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8004" tIns="9335" rIns="9335" bIns="9335" numCol="1" spcCol="1270" anchor="ctr" anchorCtr="0">
          <a:noAutofit/>
        </a:bodyPr>
        <a:lstStyle/>
        <a:p>
          <a:pPr lvl="0" algn="ctr" defTabSz="311150">
            <a:lnSpc>
              <a:spcPct val="90000"/>
            </a:lnSpc>
            <a:spcBef>
              <a:spcPct val="0"/>
            </a:spcBef>
            <a:spcAft>
              <a:spcPct val="35000"/>
            </a:spcAft>
          </a:pPr>
          <a:r>
            <a:rPr lang="bg-BG" sz="700" b="1" kern="1200">
              <a:solidFill>
                <a:sysClr val="windowText" lastClr="000000"/>
              </a:solidFill>
              <a:latin typeface="Arial Narrow" pitchFamily="34" charset="0"/>
              <a:ea typeface="+mn-ea"/>
              <a:cs typeface="+mn-cs"/>
            </a:rPr>
            <a:t>Технико-икономически анализ за определяне на споделените енергийни спестявания</a:t>
          </a:r>
        </a:p>
      </dsp:txBody>
      <dsp:txXfrm>
        <a:off x="4746488" y="101474"/>
        <a:ext cx="981451" cy="654300"/>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10</Pages>
  <Words>1602</Words>
  <Characters>9138</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OEM</dc:creator>
  <cp:keywords/>
  <dc:description/>
  <cp:lastModifiedBy>OEM</cp:lastModifiedBy>
  <cp:revision>7</cp:revision>
  <cp:lastPrinted>2023-05-17T07:54:00Z</cp:lastPrinted>
  <dcterms:created xsi:type="dcterms:W3CDTF">2023-05-17T09:37:00Z</dcterms:created>
  <dcterms:modified xsi:type="dcterms:W3CDTF">2023-05-17T11:47:00Z</dcterms:modified>
</cp:coreProperties>
</file>